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ae"/>
      </w:pPr>
      <w:r>
        <w:rPr>
          <w:rFonts w:hint="eastAsia"/>
        </w:rPr>
        <w:t xml:space="preserve">我国商业银行</w:t>
      </w:r>
      <w:r>
        <w:t xml:space="preserve"> FTP </w:t>
      </w:r>
      <w:r>
        <w:rPr>
          <w:rFonts w:hint="eastAsia"/>
        </w:rPr>
        <w:t xml:space="preserve">收益率曲线构建及定价机制研究</w:t>
      </w:r>
    </w:p>
    <w:bookmarkStart w:id="20" w:name="Abstract_cn"/>
    <w:p>
      <w:pPr>
        <w:pStyle w:val="1"/>
      </w:pPr>
      <w:r>
        <w:rPr>
          <w:rFonts w:hint="eastAsia"/>
        </w:rPr>
        <w:t xml:space="preserve">摘要</w:t>
      </w:r>
    </w:p>
    <w:p>
      <w:pPr>
        <w:pStyle w:val="FirstParagraph"/>
      </w:pPr>
      <w:r>
        <w:rPr>
          <w:rFonts w:hint="eastAsia"/>
        </w:rPr>
        <w:t xml:space="preserve">我国商业银行通过扩大规模的方式来提高利润的思路已经越来越不适应现代化银行竞争和发展的要求，随着利率市场化改革的深入推进，商业银行迫切需要通过精细化的资产负债管理来提高利率，适应未来竞争。</w:t>
      </w:r>
    </w:p>
    <w:p>
      <w:pPr>
        <w:pStyle w:val="a0"/>
      </w:pPr>
      <w:r>
        <w:rPr>
          <w:rFonts w:hint="eastAsia"/>
          <w:b/>
          <w:bCs/>
        </w:rPr>
        <w:t xml:space="preserve">关键词：</w:t>
      </w:r>
      <w:r>
        <w:rPr>
          <w:rFonts w:hint="eastAsia"/>
        </w:rPr>
        <w:t xml:space="preserve">收益率曲线；融资溢价；利率期限结构；存贷款产品定价</w:t>
      </w:r>
    </w:p>
    <w:p>
      <w:r>
        <w:br w:type="page"/>
      </w:r>
    </w:p>
    <w:bookmarkEnd w:id="20"/>
    <w:bookmarkStart w:id="21" w:name="Abstract_en"/>
    <w:p>
      <w:pPr>
        <w:pStyle w:val="1"/>
      </w:pPr>
      <w:r>
        <w:t xml:space="preserve">ABSTRACT</w:t>
      </w:r>
    </w:p>
    <w:p>
      <w:pPr>
        <w:pStyle w:val="FirstParagraph"/>
      </w:pPr>
      <w:r>
        <w:rPr>
          <w:b/>
          <w:bCs/>
        </w:rPr>
        <w:t xml:space="preserve">Key words:</w:t>
      </w:r>
      <w:r>
        <w:t xml:space="preserve">Yield Curve; Financing Premium; Term Structure of Interest Rate; Pricing of Deposit and Loan Products</w:t>
      </w:r>
    </w:p>
    <w:p>
      <w:r>
        <w:br w:type="page"/>
      </w:r>
    </w:p>
    <w:bookmarkEnd w:id="21"/>
    <w:bookmarkStart w:id="48" w:name="intro"/>
    <w:p>
      <w:pPr>
        <w:pStyle w:val="1"/>
      </w:pPr>
      <w:r>
        <w:t xml:space="preserve">1. </w:t>
      </w:r>
      <w:r>
        <w:rPr>
          <w:rFonts w:hint="eastAsia"/>
        </w:rPr>
        <w:t xml:space="preserve">引言</w:t>
      </w:r>
    </w:p>
    <w:bookmarkStart w:id="30" w:name="问题的提出与选题的意义"/>
    <w:p>
      <w:pPr>
        <w:pStyle w:val="2"/>
      </w:pPr>
      <w:r>
        <w:t xml:space="preserve">1.1 </w:t>
      </w:r>
      <w:r>
        <w:rPr>
          <w:rFonts w:hint="eastAsia"/>
        </w:rPr>
        <w:t xml:space="preserve">问题的提出与选题的意义</w:t>
      </w:r>
    </w:p>
    <w:bookmarkStart w:id="25" w:name="问题的提出"/>
    <w:p>
      <w:pPr>
        <w:pStyle w:val="3"/>
      </w:pPr>
      <w:r>
        <w:t xml:space="preserve">1.1.1 </w:t>
      </w:r>
      <w:r>
        <w:rPr>
          <w:rFonts w:hint="eastAsia"/>
        </w:rPr>
        <w:t xml:space="preserve">问题的提出</w:t>
      </w:r>
    </w:p>
    <w:p>
      <w:pPr>
        <w:pStyle w:val="FirstParagraph"/>
      </w:pPr>
      <w:r>
        <w:rPr>
          <w:rFonts w:hint="eastAsia"/>
        </w:rPr>
        <w:t xml:space="preserve">商业银行作为我国金融体系的核心组成部分，在资金融通方面扮演着至关重要的角色。通过吸收存款和发放贷款，商业银行为个人和企业提供资金储蓄、融资支持和管理服务，促进社会资金的合理配置和利用，推动经济发展和实体经济的繁荣。此外，商业银行还通过票据贴现和同业拆借等方式，实现了金融机构之间的资金融通，促进了金融市场的流动性和稳定性。除了在资金融通方面的作用，商业银行在金融风险管理方面也起着至关重要的作用。通过对信用风险、市场风险、操作风险、流动性风险等进行有效管理，商业银行能够保障存款人的权益，维护金融体系的稳定运行。商业银行作为金融中介，承担着居民储蓄转化为投资的功能，同时也承担着利率传导的角色，对于整个金融体系的稳定性和健康发展具有不可替代的重要性。</w:t>
      </w:r>
    </w:p>
    <w:p>
      <w:pPr>
        <w:pStyle w:val="a0"/>
      </w:pPr>
      <w:r>
        <w:rPr>
          <w:rFonts w:hint="eastAsia"/>
        </w:rPr>
        <w:t xml:space="preserve">内部资金转移定价（FTP）作为一种重要的管理工具，被广泛应用于商业银行的资产负债管理、业务定价和绩效评估等领域，是现代商业银行资产负债管理的基石</w:t>
      </w:r>
      <w:r>
        <w:rPr>
          <w:rStyle w:val="af2"/>
        </w:rPr>
        <w:footnoteReference w:id="22"/>
      </w:r>
      <w:r>
        <w:rPr>
          <w:rFonts w:hint="eastAsia"/>
        </w:rPr>
        <w:t xml:space="preserve">。然而，当前我国商业银行在</w:t>
      </w:r>
      <w:r>
        <w:t xml:space="preserve"> FTP </w:t>
      </w:r>
      <w:r>
        <w:rPr>
          <w:rFonts w:hint="eastAsia"/>
        </w:rPr>
        <w:t xml:space="preserve">收益率曲线构建和定价机制方面面临着诸多挑战和问题，主要体现在以下几个方面：</w:t>
      </w:r>
    </w:p>
    <w:p>
      <w:pPr>
        <w:pStyle w:val="a0"/>
      </w:pPr>
      <w:r>
        <w:rPr>
          <w:rFonts w:hint="eastAsia"/>
        </w:rPr>
        <w:t xml:space="preserve">一是，随着利率市场化程度的提高，银行面临着资金成本的变动和市场竞争的加剧，如何构建合理的</w:t>
      </w:r>
      <w:r>
        <w:t xml:space="preserve"> FTP </w:t>
      </w:r>
      <w:r>
        <w:rPr>
          <w:rFonts w:hint="eastAsia"/>
        </w:rPr>
        <w:t xml:space="preserve">收益率曲线并进行有效的定价成为了亟待解决的问题</w:t>
      </w:r>
      <w:r>
        <w:rPr>
          <w:vertAlign w:val="superscript"/>
        </w:rPr>
        <w:t xml:space="preserve">[</w:t>
      </w:r>
      <w:hyperlink w:anchor="ref-lindblom2017funds">
        <w:r>
          <w:rPr>
            <w:rStyle w:val="af1"/>
            <w:vertAlign w:val="superscript"/>
          </w:rPr>
          <w:t xml:space="preserve">1</w:t>
        </w:r>
      </w:hyperlink>
      <w:r>
        <w:rPr>
          <w:vertAlign w:val="superscript"/>
        </w:rPr>
        <w:t xml:space="preserve">]</w:t>
      </w:r>
      <w:r>
        <w:rPr>
          <w:rFonts w:hint="eastAsia"/>
        </w:rPr>
        <w:t xml:space="preserve">。当前，我国商业银行</w:t>
      </w:r>
      <w:r>
        <w:t xml:space="preserve"> FTP </w:t>
      </w:r>
      <w:r>
        <w:rPr>
          <w:rFonts w:hint="eastAsia"/>
        </w:rPr>
        <w:t xml:space="preserve">收益率曲线的构建没有统一的理论基础，更多地依靠银行业务人员的经验，在基准利率选择方面，SHIBOR、同业存单、国债、商业银行普通债均具有一定的代表性，但是它们之间期限结构存在交叉重叠的情况</w:t>
      </w:r>
      <w:r>
        <w:rPr>
          <w:rStyle w:val="af2"/>
        </w:rPr>
        <w:footnoteReference w:id="23"/>
      </w:r>
      <w:r>
        <w:rPr>
          <w:rFonts w:hint="eastAsia"/>
        </w:rPr>
        <w:t xml:space="preserve">，这就涉及到不同市场利率报价的选择问题，而市场基准利率选择的前提是金融市场利率市场化程度足够高，甚至理论上应是完全利率市场化的；当具体某家商业银行监管评级调整后，那么这家商业银行在相关金融市场上的融资溢价也会相应的发生变化，而</w:t>
      </w:r>
      <w:r>
        <w:t xml:space="preserve"> FTP </w:t>
      </w:r>
      <w:r>
        <w:rPr>
          <w:rFonts w:hint="eastAsia"/>
        </w:rPr>
        <w:t xml:space="preserve">收益率曲线代表的是银行资金的机会成本，也需要根据监管评级的调整及时作出调整。如何调整收益率曲线上不同期限的</w:t>
      </w:r>
      <w:r>
        <w:t xml:space="preserve"> FTP </w:t>
      </w:r>
      <w:r>
        <w:rPr>
          <w:rFonts w:hint="eastAsia"/>
        </w:rPr>
        <w:t xml:space="preserve">价格就变成不得不面对的问题。</w:t>
      </w:r>
    </w:p>
    <w:p>
      <w:pPr>
        <w:pStyle w:val="a0"/>
      </w:pPr>
      <w:r>
        <w:rPr>
          <w:rFonts w:hint="eastAsia"/>
        </w:rPr>
        <w:t xml:space="preserve">二是，人民银行、银监会、证监会、保监会、外汇局于</w:t>
      </w:r>
      <w:r>
        <w:t xml:space="preserve"> 2014 </w:t>
      </w:r>
      <w:r>
        <w:rPr>
          <w:rFonts w:hint="eastAsia"/>
        </w:rPr>
        <w:t xml:space="preserve">年联合发布了《关于规范金融机构同业业务的通知》，通知规定：</w:t>
      </w:r>
      <w:r>
        <w:rPr>
          <w:rFonts w:hint="eastAsia"/>
        </w:rPr>
        <w:t xml:space="preserve">“单家商业银行同业融入资金余额不得超过该银行负债总额的三分之一，农村信用社省联社、省内二级法人社及村镇银行暂不执行”</w:t>
      </w:r>
      <w:r>
        <w:rPr>
          <w:rFonts w:hint="eastAsia"/>
        </w:rPr>
        <w:t xml:space="preserve">。根据这条规定，当某家商业银行同业融入资金余额达到该银行负债总额的三分之一的临界点时，此时银行的资金来源只能是吸收存款，银行没有了其它选择，因而此时银行吸收存款的机会成本</w:t>
      </w:r>
      <w:r>
        <w:t xml:space="preserve"> </w:t>
      </w:r>
      <w:r>
        <w:rPr>
          <w:rFonts w:hint="eastAsia"/>
        </w:rPr>
        <w:t xml:space="preserve">0，那么此时用</w:t>
      </w:r>
      <w:r>
        <w:t xml:space="preserve"> FTP </w:t>
      </w:r>
      <w:r>
        <w:rPr>
          <w:rFonts w:hint="eastAsia"/>
        </w:rPr>
        <w:t xml:space="preserve">收益率曲线上的价格来衡量吸收存款的</w:t>
      </w:r>
      <w:r>
        <w:t xml:space="preserve"> FTP </w:t>
      </w:r>
      <w:r>
        <w:rPr>
          <w:rFonts w:hint="eastAsia"/>
        </w:rPr>
        <w:t xml:space="preserve">利润就会导致银行经济效率的损失。例如：如果某一天某家银行同业融入达到了规定的三分之一临界点，此时资金市场上一年期资金的价格是</w:t>
      </w:r>
      <w:r>
        <w:t xml:space="preserve"> </w:t>
      </w:r>
      <w:r>
        <w:rPr>
          <w:rFonts w:hint="eastAsia"/>
        </w:rPr>
        <w:t xml:space="preserve">2%，刚好银行此时有一笔贷款利率为</w:t>
      </w:r>
      <w:r>
        <w:t xml:space="preserve"> 5% </w:t>
      </w:r>
      <w:r>
        <w:rPr>
          <w:rFonts w:hint="eastAsia"/>
        </w:rPr>
        <w:t xml:space="preserve">的贷款需要发放（贷款客户信用极好且足值抵押，即违约概率和违约损失率均趋近于</w:t>
      </w:r>
      <w:r>
        <w:t xml:space="preserve"> </w:t>
      </w:r>
      <w:r>
        <w:rPr>
          <w:rFonts w:hint="eastAsia"/>
        </w:rPr>
        <w:t xml:space="preserve">0，风险成本可以忽略不计），边际运营成本预计</w:t>
      </w:r>
      <w:r>
        <w:t xml:space="preserve"> </w:t>
      </w:r>
      <w:r>
        <w:rPr>
          <w:rFonts w:hint="eastAsia"/>
        </w:rPr>
        <w:t xml:space="preserve">0.6%，银行面向公众吸收存款的一年期利率为</w:t>
      </w:r>
      <w:r>
        <w:t xml:space="preserve"> </w:t>
      </w:r>
      <w:r>
        <w:rPr>
          <w:rFonts w:hint="eastAsia"/>
        </w:rPr>
        <w:t xml:space="preserve">2.5%，此时对于这家银行的最优决策是通过吸收存款来发放贷款，银行的利差预计为</w:t>
      </w:r>
      <w:r>
        <w:t xml:space="preserve"> </w:t>
      </w:r>
      <w:r>
        <w:rPr>
          <w:rFonts w:hint="eastAsia"/>
        </w:rPr>
        <w:t xml:space="preserve">1.9%。但是，此时如果银行仍按照</w:t>
      </w:r>
      <w:r>
        <w:t xml:space="preserve"> FTP </w:t>
      </w:r>
      <w:r>
        <w:rPr>
          <w:rFonts w:hint="eastAsia"/>
        </w:rPr>
        <w:t xml:space="preserve">收益率曲线的价格来衡量吸收存款的机会成本，那么吸收这笔存款的</w:t>
      </w:r>
      <w:r>
        <w:t xml:space="preserve"> FTP </w:t>
      </w:r>
      <w:r>
        <w:rPr>
          <w:rFonts w:hint="eastAsia"/>
        </w:rPr>
        <w:t xml:space="preserve">利差为</w:t>
      </w:r>
      <w:r>
        <w:t xml:space="preserve"> </w:t>
      </w:r>
      <w:r>
        <w:rPr>
          <w:rFonts w:hint="eastAsia"/>
        </w:rPr>
        <w:t xml:space="preserve">-0.5%，导致银行的业务人员不愿吸收存款而错失了赚取</w:t>
      </w:r>
      <w:r>
        <w:t xml:space="preserve"> 1.9% </w:t>
      </w:r>
      <w:r>
        <w:rPr>
          <w:rFonts w:hint="eastAsia"/>
        </w:rPr>
        <w:t xml:space="preserve">利差的机会。为了保障这笔贷款业务能正常开展，就必须让一年期的</w:t>
      </w:r>
      <w:r>
        <w:t xml:space="preserve"> FTP </w:t>
      </w:r>
      <w:r>
        <w:rPr>
          <w:rFonts w:hint="eastAsia"/>
        </w:rPr>
        <w:t xml:space="preserve">价格在</w:t>
      </w:r>
      <w:r>
        <w:t xml:space="preserve"> (2.5%, 4.4%) </w:t>
      </w:r>
      <w:r>
        <w:rPr>
          <w:rFonts w:hint="eastAsia"/>
        </w:rPr>
        <w:t xml:space="preserve">区间内，此时业务人员的目标才能和全行利润最大化目标保持一致。但这又会导致现有的</w:t>
      </w:r>
      <w:r>
        <w:t xml:space="preserve"> FTP </w:t>
      </w:r>
      <w:r>
        <w:rPr>
          <w:rFonts w:hint="eastAsia"/>
        </w:rPr>
        <w:t xml:space="preserve">收益率曲线失灵，而要在</w:t>
      </w:r>
      <w:r>
        <w:t xml:space="preserve"> 2.5% </w:t>
      </w:r>
      <w:r>
        <w:rPr>
          <w:rFonts w:hint="eastAsia"/>
        </w:rPr>
        <w:t xml:space="preserve">至</w:t>
      </w:r>
      <w:r>
        <w:t xml:space="preserve"> 4.4% </w:t>
      </w:r>
      <w:r>
        <w:rPr>
          <w:rFonts w:hint="eastAsia"/>
        </w:rPr>
        <w:t xml:space="preserve">区间选一个值作为一年期资金的价格是困难的</w:t>
      </w:r>
      <w:r>
        <w:rPr>
          <w:rStyle w:val="af2"/>
        </w:rPr>
        <w:footnoteReference w:id="24"/>
      </w:r>
      <w:r>
        <w:rPr>
          <w:rFonts w:hint="eastAsia"/>
        </w:rPr>
        <w:t xml:space="preserve">，缺少理论支撑，公平绩效考核无从谈起。</w:t>
      </w:r>
    </w:p>
    <w:p>
      <w:pPr>
        <w:pStyle w:val="a0"/>
      </w:pPr>
      <w:r>
        <w:rPr>
          <w:rFonts w:hint="eastAsia"/>
        </w:rPr>
        <w:t xml:space="preserve">三是，中国人民银行市场利率定价自律机制</w:t>
      </w:r>
      <w:r>
        <w:t xml:space="preserve"> 2020 </w:t>
      </w:r>
      <w:r>
        <w:rPr>
          <w:rFonts w:hint="eastAsia"/>
        </w:rPr>
        <w:t xml:space="preserve">年印发了《关于将贷款市场报价利率纳入金融机构内部资金转移定价体系的实施指引》（市率发〔2020〕2号）文件，根据文件要求，商业银行在</w:t>
      </w:r>
      <w:r>
        <w:t xml:space="preserve"> FTP </w:t>
      </w:r>
      <w:r>
        <w:rPr>
          <w:rFonts w:hint="eastAsia"/>
        </w:rPr>
        <w:t xml:space="preserve">收益率曲线构建时，贷款业务有关业务的</w:t>
      </w:r>
      <w:r>
        <w:t xml:space="preserve"> FTP </w:t>
      </w:r>
      <w:r>
        <w:rPr>
          <w:rFonts w:hint="eastAsia"/>
        </w:rPr>
        <w:t xml:space="preserve">价格应主要参考</w:t>
      </w:r>
      <w:r>
        <w:t xml:space="preserve"> </w:t>
      </w:r>
      <w:r>
        <w:rPr>
          <w:rFonts w:hint="eastAsia"/>
        </w:rPr>
        <w:t xml:space="preserve">LPR，确保贷款</w:t>
      </w:r>
      <w:r>
        <w:t xml:space="preserve"> FTP </w:t>
      </w:r>
      <w:r>
        <w:rPr>
          <w:rFonts w:hint="eastAsia"/>
        </w:rPr>
        <w:t xml:space="preserve">价格与</w:t>
      </w:r>
      <w:r>
        <w:t xml:space="preserve"> LPR </w:t>
      </w:r>
      <w:r>
        <w:rPr>
          <w:rFonts w:hint="eastAsia"/>
        </w:rPr>
        <w:t xml:space="preserve">在变动方向和幅度上基本保持一致。这项规定的出台降低了商业银行构建</w:t>
      </w:r>
      <w:r>
        <w:t xml:space="preserve"> FTP </w:t>
      </w:r>
      <w:r>
        <w:rPr>
          <w:rFonts w:hint="eastAsia"/>
        </w:rPr>
        <w:t xml:space="preserve">收益率曲线的自由度。FTP</w:t>
      </w:r>
      <w:r>
        <w:t xml:space="preserve"> </w:t>
      </w:r>
      <w:r>
        <w:rPr>
          <w:rFonts w:hint="eastAsia"/>
        </w:rPr>
        <w:t xml:space="preserve">收益率曲线反映的是商业银行资金的机会成本，而</w:t>
      </w:r>
      <w:r>
        <w:t xml:space="preserve"> LPR </w:t>
      </w:r>
      <w:r>
        <w:rPr>
          <w:rFonts w:hint="eastAsia"/>
        </w:rPr>
        <w:t xml:space="preserve">是客户端的贷款利率，贷款利率定价需要综合考虑资金成本、运营成本、风险成本、资本成本等因素边际成本。因此，要基于</w:t>
      </w:r>
      <w:r>
        <w:t xml:space="preserve"> LPR </w:t>
      </w:r>
      <w:r>
        <w:rPr>
          <w:rFonts w:hint="eastAsia"/>
        </w:rPr>
        <w:t xml:space="preserve">构建</w:t>
      </w:r>
      <w:r>
        <w:t xml:space="preserve"> FTP </w:t>
      </w:r>
      <w:r>
        <w:rPr>
          <w:rFonts w:hint="eastAsia"/>
        </w:rPr>
        <w:t xml:space="preserve">收益率曲线，就必须首先从</w:t>
      </w:r>
      <w:r>
        <w:t xml:space="preserve"> LPR </w:t>
      </w:r>
      <w:r>
        <w:rPr>
          <w:rFonts w:hint="eastAsia"/>
        </w:rPr>
        <w:t xml:space="preserve">里剥离资金成本部分，这就变成一个循环依赖的难题，本质上是因为我国利率市场化程度还有待提高，基准市场利率体系尚不健全，这给了政府干预经济的逻辑基础，但是</w:t>
      </w:r>
      <w:r>
        <w:t xml:space="preserve"> LPR </w:t>
      </w:r>
      <w:r>
        <w:rPr>
          <w:rFonts w:hint="eastAsia"/>
        </w:rPr>
        <w:t xml:space="preserve">无法承担起基准利率的职能。</w:t>
      </w:r>
    </w:p>
    <w:p>
      <w:pPr>
        <w:pStyle w:val="a0"/>
      </w:pPr>
      <w:r>
        <w:rPr>
          <w:rFonts w:hint="eastAsia"/>
        </w:rPr>
        <w:t xml:space="preserve">综上，我国商业银行在构建</w:t>
      </w:r>
      <w:r>
        <w:t xml:space="preserve"> FTP </w:t>
      </w:r>
      <w:r>
        <w:rPr>
          <w:rFonts w:hint="eastAsia"/>
        </w:rPr>
        <w:t xml:space="preserve">收益率曲线过程中面临许多困难。本文通过结合国内外</w:t>
      </w:r>
      <w:r>
        <w:t xml:space="preserve"> FTP </w:t>
      </w:r>
      <w:r>
        <w:rPr>
          <w:rFonts w:hint="eastAsia"/>
        </w:rPr>
        <w:t xml:space="preserve">理论和实践，围绕如何科学构建</w:t>
      </w:r>
      <w:r>
        <w:t xml:space="preserve"> FTP </w:t>
      </w:r>
      <w:r>
        <w:rPr>
          <w:rFonts w:hint="eastAsia"/>
        </w:rPr>
        <w:t xml:space="preserve">收益率曲线回答以下问题：</w:t>
      </w:r>
    </w:p>
    <w:p>
      <w:pPr>
        <w:pStyle w:val="a0"/>
      </w:pPr>
      <w:r>
        <w:rPr>
          <w:rFonts w:hint="eastAsia"/>
        </w:rPr>
        <w:t xml:space="preserve">第一，什么是</w:t>
      </w:r>
      <w:r>
        <w:t xml:space="preserve"> </w:t>
      </w:r>
      <w:r>
        <w:rPr>
          <w:rFonts w:hint="eastAsia"/>
        </w:rPr>
        <w:t xml:space="preserve">FTP？FTP</w:t>
      </w:r>
      <w:r>
        <w:t xml:space="preserve"> </w:t>
      </w:r>
      <w:r>
        <w:rPr>
          <w:rFonts w:hint="eastAsia"/>
        </w:rPr>
        <w:t xml:space="preserve">的职能和作用机制是什么？</w:t>
      </w:r>
    </w:p>
    <w:p>
      <w:pPr>
        <w:pStyle w:val="a0"/>
      </w:pPr>
      <w:r>
        <w:rPr>
          <w:rFonts w:hint="eastAsia"/>
        </w:rPr>
        <w:t xml:space="preserve">第二，利率市场化与</w:t>
      </w:r>
      <w:r>
        <w:t xml:space="preserve"> FTP </w:t>
      </w:r>
      <w:r>
        <w:rPr>
          <w:rFonts w:hint="eastAsia"/>
        </w:rPr>
        <w:t xml:space="preserve">收益率曲线之间的关系是什么？</w:t>
      </w:r>
    </w:p>
    <w:p>
      <w:pPr>
        <w:pStyle w:val="a0"/>
      </w:pPr>
      <w:r>
        <w:rPr>
          <w:rFonts w:hint="eastAsia"/>
        </w:rPr>
        <w:t xml:space="preserve">第三，我国利率市场化程度如何？我国利率双轨制产生的原因、带来的问题？</w:t>
      </w:r>
    </w:p>
    <w:p>
      <w:pPr>
        <w:pStyle w:val="a0"/>
      </w:pPr>
      <w:r>
        <w:rPr>
          <w:rFonts w:hint="eastAsia"/>
        </w:rPr>
        <w:t xml:space="preserve">第四，当前我国利率市场化程度下，如何建立统一的</w:t>
      </w:r>
      <w:r>
        <w:t xml:space="preserve"> FTP </w:t>
      </w:r>
      <w:r>
        <w:rPr>
          <w:rFonts w:hint="eastAsia"/>
        </w:rPr>
        <w:t xml:space="preserve">收益率曲线框架？</w:t>
      </w:r>
    </w:p>
    <w:p>
      <w:pPr>
        <w:pStyle w:val="a0"/>
      </w:pPr>
      <w:r>
        <w:rPr>
          <w:rFonts w:hint="eastAsia"/>
        </w:rPr>
        <w:t xml:space="preserve">第五，基准利率曲线的选择与确立问题？</w:t>
      </w:r>
    </w:p>
    <w:p>
      <w:pPr>
        <w:pStyle w:val="a0"/>
      </w:pPr>
      <w:r>
        <w:rPr>
          <w:rFonts w:hint="eastAsia"/>
        </w:rPr>
        <w:t xml:space="preserve">第六，商业银行监管评价对融资溢价有多大影响？</w:t>
      </w:r>
    </w:p>
    <w:p>
      <w:pPr>
        <w:pStyle w:val="a0"/>
      </w:pPr>
      <w:r>
        <w:rPr>
          <w:rFonts w:hint="eastAsia"/>
        </w:rPr>
        <w:t xml:space="preserve">第七，如果完善</w:t>
      </w:r>
      <w:r>
        <w:t xml:space="preserve"> FTP </w:t>
      </w:r>
      <w:r>
        <w:rPr>
          <w:rFonts w:hint="eastAsia"/>
        </w:rPr>
        <w:t xml:space="preserve">定价机制来提升银行绩效和管控流动性风险？</w:t>
      </w:r>
    </w:p>
    <w:bookmarkEnd w:id="25"/>
    <w:bookmarkStart w:id="26" w:name="选题的背景"/>
    <w:p>
      <w:pPr>
        <w:pStyle w:val="3"/>
      </w:pPr>
      <w:r>
        <w:t xml:space="preserve">1.1.2 </w:t>
      </w:r>
      <w:r>
        <w:rPr>
          <w:rFonts w:hint="eastAsia"/>
        </w:rPr>
        <w:t xml:space="preserve">选题的背景</w:t>
      </w:r>
    </w:p>
    <w:p>
      <w:pPr>
        <w:pStyle w:val="FirstParagraph"/>
      </w:pPr>
      <w:r>
        <w:t xml:space="preserve">1996 </w:t>
      </w:r>
      <w:r>
        <w:rPr>
          <w:rFonts w:hint="eastAsia"/>
        </w:rPr>
        <w:t xml:space="preserve">年</w:t>
      </w:r>
      <w:r>
        <w:t xml:space="preserve"> 6 </w:t>
      </w:r>
      <w:r>
        <w:rPr>
          <w:rFonts w:hint="eastAsia"/>
        </w:rPr>
        <w:t xml:space="preserve">月我国开放同业拆借利率标志着利率市场化的开始，我国的利率市场化改革整体上是按“先外币、后本币；先贷款、后存款；先大额长期、后小额短期”的步骤展开的。2013</w:t>
      </w:r>
      <w:r>
        <w:t xml:space="preserve"> </w:t>
      </w:r>
      <w:r>
        <w:rPr>
          <w:rFonts w:hint="eastAsia"/>
        </w:rPr>
        <w:t xml:space="preserve">年</w:t>
      </w:r>
      <w:r>
        <w:t xml:space="preserve"> 7 </w:t>
      </w:r>
      <w:r>
        <w:rPr>
          <w:rFonts w:hint="eastAsia"/>
        </w:rPr>
        <w:t xml:space="preserve">月人民银行放开了贷款利率下限，并于</w:t>
      </w:r>
      <w:r>
        <w:t xml:space="preserve"> 2015 </w:t>
      </w:r>
      <w:r>
        <w:rPr>
          <w:rFonts w:hint="eastAsia"/>
        </w:rPr>
        <w:t xml:space="preserve">年</w:t>
      </w:r>
      <w:r>
        <w:t xml:space="preserve"> 10 </w:t>
      </w:r>
      <w:r>
        <w:rPr>
          <w:rFonts w:hint="eastAsia"/>
        </w:rPr>
        <w:t xml:space="preserve">月</w:t>
      </w:r>
      <w:r>
        <w:t xml:space="preserve"> 24 </w:t>
      </w:r>
      <w:r>
        <w:rPr>
          <w:rFonts w:hint="eastAsia"/>
        </w:rPr>
        <w:t xml:space="preserve">日宣布对商业银行和农村合作金融机构不再设置存款利率浮动上限。自此，在政策上，我国利率已基本上实现市场化。但在实践中，信贷市场利率仍受到较多的隐形约束，商业银行</w:t>
      </w:r>
      <w:r>
        <w:t xml:space="preserve"> FTP </w:t>
      </w:r>
      <w:r>
        <w:rPr>
          <w:rFonts w:hint="eastAsia"/>
        </w:rPr>
        <w:t xml:space="preserve">仍存在非市场定价现象，我国信贷市场存贷款利率和市场利率依然“两轨”并存。易纲行长在</w:t>
      </w:r>
      <w:r>
        <w:t xml:space="preserve"> 2018 </w:t>
      </w:r>
      <w:r>
        <w:rPr>
          <w:rFonts w:hint="eastAsia"/>
        </w:rPr>
        <w:t xml:space="preserve">年初的博鳌亚洲论坛上指出：</w:t>
      </w:r>
      <w:r>
        <w:rPr>
          <w:rFonts w:hint="eastAsia"/>
        </w:rPr>
        <w:t xml:space="preserve">“目前中国仍存在一些利率双轨制，一是在存贷款方面仍有基准利率，二是货币市场利率是完全由市场决定的。”</w:t>
      </w:r>
      <w:r>
        <w:t xml:space="preserve">2019 </w:t>
      </w:r>
      <w:r>
        <w:rPr>
          <w:rFonts w:hint="eastAsia"/>
        </w:rPr>
        <w:t xml:space="preserve">年，基于全新价格生成机制的</w:t>
      </w:r>
      <w:r>
        <w:t xml:space="preserve"> LPR </w:t>
      </w:r>
      <w:r>
        <w:rPr>
          <w:rFonts w:hint="eastAsia"/>
        </w:rPr>
        <w:t xml:space="preserve">发布，是探索优化我国信贷利率生成机制的重要举措，进一步加快我国利率市场化改革进程。</w:t>
      </w:r>
    </w:p>
    <w:p>
      <w:pPr>
        <w:pStyle w:val="a0"/>
      </w:pPr>
      <w:r>
        <w:rPr>
          <w:rFonts w:hint="eastAsia"/>
        </w:rPr>
        <w:t xml:space="preserve">从市场发展现状来看，当前我国金融市场目前仍存在的部分利率非市场化问题，对货币政策的有效传导产生了一定的负面影响，也不利于金融服务实体经济目标的实现。理论上，中央银行可通过货币政策来调控经济活动：货币政策操作作用于政策利率，并通过银行间的货币融通，形成银行间市场利率，进而影响商业银行综合融资成本，商业银行在成本收益权衡下最终决定贷款利率，形成“政策利率-银行间市场利率-贷款利率”的传导链条。然而，由于“利率双轨制”的存在，银行间市场利率的变化难以充分有效地影响存贷款市场利率。更重要的是，商业银行内部资金转移定价（FTP）机制不善、定价机制与行为市场化程度较低等问题，也不利于货币市场利率向信贷市场利率的传导。</w:t>
      </w:r>
    </w:p>
    <w:p>
      <w:pPr>
        <w:pStyle w:val="a0"/>
      </w:pPr>
      <w:r>
        <w:rPr>
          <w:rFonts w:hint="eastAsia"/>
        </w:rPr>
        <w:t xml:space="preserve">货币政策的有效传导需要</w:t>
      </w:r>
      <w:r>
        <w:t xml:space="preserve"> FTP </w:t>
      </w:r>
      <w:r>
        <w:rPr>
          <w:rFonts w:hint="eastAsia"/>
        </w:rPr>
        <w:t xml:space="preserve">机制建设。一个理想的利率传导路径是：1.央行通过公开市场操作、广义再贷款（再贷款、SLF、MLF</w:t>
      </w:r>
      <w:r>
        <w:t xml:space="preserve"> </w:t>
      </w:r>
      <w:r>
        <w:rPr>
          <w:rFonts w:hint="eastAsia"/>
        </w:rPr>
        <w:t xml:space="preserve">等）等操作投放基础货币，其利率为政策利率；2.政策利率影响货币市场利率，比如</w:t>
      </w:r>
      <w:r>
        <w:t xml:space="preserve"> </w:t>
      </w:r>
      <w:r>
        <w:rPr>
          <w:rFonts w:hint="eastAsia"/>
        </w:rPr>
        <w:t xml:space="preserve">SHIBOR、同业存单等；3.商业银行根据货币市场利率结合自身信用评级融资溢价情况拟合</w:t>
      </w:r>
      <w:r>
        <w:t xml:space="preserve"> FTP </w:t>
      </w:r>
      <w:r>
        <w:rPr>
          <w:rFonts w:hint="eastAsia"/>
        </w:rPr>
        <w:t xml:space="preserve">收益率曲线。4.FTP</w:t>
      </w:r>
      <w:r>
        <w:t xml:space="preserve"> </w:t>
      </w:r>
      <w:r>
        <w:rPr>
          <w:rFonts w:hint="eastAsia"/>
        </w:rPr>
        <w:t xml:space="preserve">收益率曲线的变动影响商业银行内部核算资金成本和存贷款</w:t>
      </w:r>
      <w:r>
        <w:t xml:space="preserve"> FTP </w:t>
      </w:r>
      <w:r>
        <w:rPr>
          <w:rFonts w:hint="eastAsia"/>
        </w:rPr>
        <w:t xml:space="preserve">利差，进而进一步影响存贷款定价。5存贷款定价进一步影响企业的投融资行为，进而影响整个经济社会的总产出。</w:t>
      </w:r>
    </w:p>
    <w:p>
      <w:pPr>
        <w:pStyle w:val="a0"/>
      </w:pPr>
      <w:r>
        <w:rPr>
          <w:rFonts w:hint="eastAsia"/>
        </w:rPr>
        <w:t xml:space="preserve">商业银行精细化管理迫切需要</w:t>
      </w:r>
      <w:r>
        <w:t xml:space="preserve"> FTP </w:t>
      </w:r>
      <w:r>
        <w:rPr>
          <w:rFonts w:hint="eastAsia"/>
        </w:rPr>
        <w:t xml:space="preserve">机制建设。FTP</w:t>
      </w:r>
      <w:r>
        <w:t xml:space="preserve"> </w:t>
      </w:r>
      <w:r>
        <w:rPr>
          <w:rFonts w:hint="eastAsia"/>
        </w:rPr>
        <w:t xml:space="preserve">做为现代商业管理会计的基石，是商业银行精细化管理的重要工具。首先，随着利率市场化水平的持续提升，同业间的竞争加剧，金融脱媒、互联网金融的冲击，使得传统商业银行净息差收窄，单纯依靠规模扩张变的不可持续，客观上要求商业银行加强精细化管理，向精细化管理要利润，逐渐提升商业银行利率定价能力和风险管理能力，科学核算每笔业务的资金成本（机会成本）、运营成本、风险成本、资本成本等，其中资金成本占较大比重，而存贷款产品资金成本的核算需要基于</w:t>
      </w:r>
      <w:r>
        <w:t xml:space="preserve"> FTP </w:t>
      </w:r>
      <w:r>
        <w:rPr>
          <w:rFonts w:hint="eastAsia"/>
        </w:rPr>
        <w:t xml:space="preserve">收益率曲线结合产品的期限、利率和本金等属性所确定的定价方法来决定，因此，FTP</w:t>
      </w:r>
      <w:r>
        <w:t xml:space="preserve"> </w:t>
      </w:r>
      <w:r>
        <w:rPr>
          <w:rFonts w:hint="eastAsia"/>
        </w:rPr>
        <w:t xml:space="preserve">收益率曲线为存贷款产品客户端价格确定提供决策依据；其次，市场化的利率可以客观反映资金市场上资金的供求情况，商业银行可以通过资金市场上不同期限资金价格结合自身信用评级构建一条</w:t>
      </w:r>
      <w:r>
        <w:t xml:space="preserve"> FTP </w:t>
      </w:r>
      <w:r>
        <w:rPr>
          <w:rFonts w:hint="eastAsia"/>
        </w:rPr>
        <w:t xml:space="preserve">收益率曲线并向下传导，收益率曲线的变动会影响存贷款的</w:t>
      </w:r>
      <w:r>
        <w:t xml:space="preserve"> FTP </w:t>
      </w:r>
      <w:r>
        <w:rPr>
          <w:rFonts w:hint="eastAsia"/>
        </w:rPr>
        <w:t xml:space="preserve">利差水平，商业银行业务单元可以根据价格的变化及时调整业务结构和营销行为，从而起到优化资源配置的作用；再次，在财务会计视角下，存款表现为银行的成本，而贷款表现为银行的收益，因而无法衡量存贷款的利润贡献，因此也无法进行公平绩效考核。市场化的利率客观的反映了资金的机会成本，因此，可以通过</w:t>
      </w:r>
      <w:r>
        <w:t xml:space="preserve"> FTP </w:t>
      </w:r>
      <w:r>
        <w:rPr>
          <w:rFonts w:hint="eastAsia"/>
        </w:rPr>
        <w:t xml:space="preserve">收益率曲线切割存贷利差，从而科学衡量每笔业务的</w:t>
      </w:r>
      <w:r>
        <w:t xml:space="preserve"> FTP </w:t>
      </w:r>
      <w:r>
        <w:rPr>
          <w:rFonts w:hint="eastAsia"/>
        </w:rPr>
        <w:t xml:space="preserve">利润，达到公平绩效考核的目的。</w:t>
      </w:r>
    </w:p>
    <w:p>
      <w:pPr>
        <w:pStyle w:val="a0"/>
      </w:pPr>
      <w:r>
        <w:rPr>
          <w:rFonts w:hint="eastAsia"/>
        </w:rPr>
        <w:t xml:space="preserve">综上，无论是商业银行通过精细化管理增加利润角度，还是从货币政策的有效传导以及利率市场化改革的深入推进出发，客观上都要求商业银行构建</w:t>
      </w:r>
      <w:r>
        <w:t xml:space="preserve"> FTP </w:t>
      </w:r>
      <w:r>
        <w:rPr>
          <w:rFonts w:hint="eastAsia"/>
        </w:rPr>
        <w:t xml:space="preserve">收益率曲线，完善产品定价机制，优化资源配置，最终建立起一套高度关联的利率体系，形成统一的基准利率并完善传导机制。</w:t>
      </w:r>
    </w:p>
    <w:bookmarkEnd w:id="26"/>
    <w:bookmarkStart w:id="29" w:name="选题的意义"/>
    <w:p>
      <w:pPr>
        <w:pStyle w:val="3"/>
      </w:pPr>
      <w:r>
        <w:t xml:space="preserve">1.1.3 </w:t>
      </w:r>
      <w:r>
        <w:rPr>
          <w:rFonts w:hint="eastAsia"/>
        </w:rPr>
        <w:t xml:space="preserve">选题的意义</w:t>
      </w:r>
    </w:p>
    <w:bookmarkStart w:id="27" w:name="理论意义"/>
    <w:p>
      <w:pPr>
        <w:pStyle w:val="4"/>
      </w:pPr>
      <w:r>
        <w:t xml:space="preserve">1.1.3.1 </w:t>
      </w:r>
      <w:r>
        <w:rPr>
          <w:rFonts w:hint="eastAsia"/>
        </w:rPr>
        <w:t xml:space="preserve">理论意义</w:t>
      </w:r>
    </w:p>
    <w:p>
      <w:pPr>
        <w:pStyle w:val="FirstParagraph"/>
      </w:pPr>
      <w:r>
        <w:rPr>
          <w:rFonts w:hint="eastAsia"/>
        </w:rPr>
        <w:t xml:space="preserve">对推动利率市场化进程提供理论指导。理论框架完善层面。通过深入研究商业银行</w:t>
      </w:r>
      <w:r>
        <w:t xml:space="preserve"> FTP </w:t>
      </w:r>
      <w:r>
        <w:rPr>
          <w:rFonts w:hint="eastAsia"/>
        </w:rPr>
        <w:t xml:space="preserve">收益率曲线构建及定价机制，进一步完善和丰富利率市场化理论框架，提出推动我国利率市场化的路径和对策，助力实现利率市场化改革的目标。市场基准利率选择层面：基于利率期限结构理论，探讨</w:t>
      </w:r>
      <w:r>
        <w:t xml:space="preserve"> </w:t>
      </w:r>
      <w:r>
        <w:rPr>
          <w:rFonts w:hint="eastAsia"/>
        </w:rPr>
        <w:t xml:space="preserve">SHIBOR、同业存单、国债、商业银行普通债等金融产品的收益率曲线作为基准利率曲线的可行性，解决市场利率选择和确立的问题，促进利率市场化的深度推进。</w:t>
      </w:r>
    </w:p>
    <w:p>
      <w:pPr>
        <w:pStyle w:val="a0"/>
      </w:pPr>
      <w:r>
        <w:rPr>
          <w:rFonts w:hint="eastAsia"/>
        </w:rPr>
        <w:t xml:space="preserve">深化利率期限结构研究。一是，结合经典的利率期限结构理论，验证不同金融产品的收益率曲线模型，深入分析市场基准利率曲线和</w:t>
      </w:r>
      <w:r>
        <w:t xml:space="preserve"> FTP </w:t>
      </w:r>
      <w:r>
        <w:rPr>
          <w:rFonts w:hint="eastAsia"/>
        </w:rPr>
        <w:t xml:space="preserve">收益率曲线之间的关系，推动利率期限结构理论在商业银行实践中的应用和发展。二是，通过实证分析和理论研究，明确基准市场利率、自身监管评级及其他关键因素对商业银行</w:t>
      </w:r>
      <w:r>
        <w:t xml:space="preserve"> FTP </w:t>
      </w:r>
      <w:r>
        <w:rPr>
          <w:rFonts w:hint="eastAsia"/>
        </w:rPr>
        <w:t xml:space="preserve">收益率曲线的影响，为进一步研究利率市场化背景下的</w:t>
      </w:r>
      <w:r>
        <w:t xml:space="preserve"> FTP </w:t>
      </w:r>
      <w:r>
        <w:rPr>
          <w:rFonts w:hint="eastAsia"/>
        </w:rPr>
        <w:t xml:space="preserve">收益率曲线构建提供新的视角。</w:t>
      </w:r>
    </w:p>
    <w:bookmarkEnd w:id="27"/>
    <w:bookmarkStart w:id="28" w:name="实践意义"/>
    <w:p>
      <w:pPr>
        <w:pStyle w:val="4"/>
      </w:pPr>
      <w:r>
        <w:t xml:space="preserve">1.1.3.2 </w:t>
      </w:r>
      <w:r>
        <w:rPr>
          <w:rFonts w:hint="eastAsia"/>
        </w:rPr>
        <w:t xml:space="preserve">实践意义</w:t>
      </w:r>
    </w:p>
    <w:p>
      <w:pPr>
        <w:pStyle w:val="FirstParagraph"/>
      </w:pPr>
      <w:r>
        <w:rPr>
          <w:rFonts w:hint="eastAsia"/>
        </w:rPr>
        <w:t xml:space="preserve">提升商业银行精细化管理水平。一是优化资源配置。科学构建</w:t>
      </w:r>
      <w:r>
        <w:t xml:space="preserve"> FTP </w:t>
      </w:r>
      <w:r>
        <w:rPr>
          <w:rFonts w:hint="eastAsia"/>
        </w:rPr>
        <w:t xml:space="preserve">收益率曲线，提升商业银行内部资金转移定价的科学性和合理性，优化银行资源配置，提升经营效益；二是实现公平绩效考核。通过市场化的</w:t>
      </w:r>
      <w:r>
        <w:t xml:space="preserve"> FTP </w:t>
      </w:r>
      <w:r>
        <w:rPr>
          <w:rFonts w:hint="eastAsia"/>
        </w:rPr>
        <w:t xml:space="preserve">定价机制，科学衡量每笔业务的资金成本和利润贡献，实现公平绩效考核，激励业务人员提高工作质效；三是为资产负债定价提供参考。基于市场化的</w:t>
      </w:r>
      <w:r>
        <w:t xml:space="preserve"> FTP </w:t>
      </w:r>
      <w:r>
        <w:rPr>
          <w:rFonts w:hint="eastAsia"/>
        </w:rPr>
        <w:t xml:space="preserve">收益率曲线，准确核算资金的机会成本，结合运营成本、风险成本和资本成本，为存贷款产品定价提供科学依据，提升风险资产定价能力；四是，通过</w:t>
      </w:r>
      <w:r>
        <w:t xml:space="preserve"> FTP </w:t>
      </w:r>
      <w:r>
        <w:rPr>
          <w:rFonts w:hint="eastAsia"/>
        </w:rPr>
        <w:t xml:space="preserve">体系的构建，商业银行管理模式进一步优化，从差额资金管理过渡到全额资金管理，资金管理模式得到优化。</w:t>
      </w:r>
    </w:p>
    <w:p>
      <w:pPr>
        <w:pStyle w:val="a0"/>
      </w:pPr>
      <w:r>
        <w:rPr>
          <w:rFonts w:hint="eastAsia"/>
        </w:rPr>
        <w:t xml:space="preserve">提升金融体系稳定性。一是增强了流动性风险管理。通过科学的</w:t>
      </w:r>
      <w:r>
        <w:t xml:space="preserve"> FTP </w:t>
      </w:r>
      <w:r>
        <w:rPr>
          <w:rFonts w:hint="eastAsia"/>
        </w:rPr>
        <w:t xml:space="preserve">定价机制，优化银行的资产负债管理，总行集中管理流动性风险，提升流动性风险管理能力，保障金融体系的稳定运行；二是系统性风险防范：完善基于市场的</w:t>
      </w:r>
      <w:r>
        <w:t xml:space="preserve"> FTP </w:t>
      </w:r>
      <w:r>
        <w:rPr>
          <w:rFonts w:hint="eastAsia"/>
        </w:rPr>
        <w:t xml:space="preserve">收益率曲线构建和定价机制，提升商业银行对市场风险等系统性风险的识别和应对能力，维护金融体系的稳定性和安全性。</w:t>
      </w:r>
    </w:p>
    <w:p>
      <w:pPr>
        <w:pStyle w:val="a0"/>
      </w:pPr>
      <w:r>
        <w:rPr>
          <w:rFonts w:hint="eastAsia"/>
        </w:rPr>
        <w:t xml:space="preserve">促进货币政策传导效果。一是利率传导路径优化。通过完善</w:t>
      </w:r>
      <w:r>
        <w:t xml:space="preserve"> FTP </w:t>
      </w:r>
      <w:r>
        <w:rPr>
          <w:rFonts w:hint="eastAsia"/>
        </w:rPr>
        <w:t xml:space="preserve">收益率曲线和定价机制，构建“政策利率-银行间市场利率-FTP</w:t>
      </w:r>
      <w:r>
        <w:t xml:space="preserve"> </w:t>
      </w:r>
      <w:r>
        <w:rPr>
          <w:rFonts w:hint="eastAsia"/>
        </w:rPr>
        <w:t xml:space="preserve">收益率曲线-贷款利率”的利率传导路径，提升货币政策传导效果，助力实现货币政策目标；二是推动市场基准利率建设。推动建立科学的市场基准利率体系，增强货币政策在信贷市场的传导效率和一致性，促进金融市场的健康发展。</w:t>
      </w:r>
    </w:p>
    <w:p>
      <w:pPr>
        <w:pStyle w:val="a0"/>
      </w:pPr>
      <w:r>
        <w:rPr>
          <w:rFonts w:hint="eastAsia"/>
        </w:rPr>
        <w:t xml:space="preserve">综上所述，随着利率市场化进程的推进，商业银行内部对</w:t>
      </w:r>
      <w:r>
        <w:t xml:space="preserve"> FTP </w:t>
      </w:r>
      <w:r>
        <w:rPr>
          <w:rFonts w:hint="eastAsia"/>
        </w:rPr>
        <w:t xml:space="preserve">定价机制及系统的完善将成为顺畅、高效的利率传导过程的核心，同时也是商业银行通过精细化管理提升盈利水平的必然选择，对</w:t>
      </w:r>
      <w:r>
        <w:t xml:space="preserve"> FTP </w:t>
      </w:r>
      <w:r>
        <w:rPr>
          <w:rFonts w:hint="eastAsia"/>
        </w:rPr>
        <w:t xml:space="preserve">定价机制的研究非常必要且意义重大。通过研究我国商业银行</w:t>
      </w:r>
      <w:r>
        <w:t xml:space="preserve"> FTP </w:t>
      </w:r>
      <w:r>
        <w:rPr>
          <w:rFonts w:hint="eastAsia"/>
        </w:rPr>
        <w:t xml:space="preserve">收益率曲线构建及定价机制，能够推动利率市场化改革，提升商业银行的精细化管理水平和风险管理能力，促进货币政策的有效传导，最终实现金融体系的稳定和健康发展。</w:t>
      </w:r>
    </w:p>
    <w:bookmarkEnd w:id="28"/>
    <w:bookmarkEnd w:id="29"/>
    <w:bookmarkEnd w:id="30"/>
    <w:bookmarkStart w:id="38" w:name="文献综述"/>
    <w:p>
      <w:pPr>
        <w:pStyle w:val="2"/>
      </w:pPr>
      <w:r>
        <w:t xml:space="preserve">1.2 </w:t>
      </w:r>
      <w:r>
        <w:rPr>
          <w:rFonts w:hint="eastAsia"/>
        </w:rPr>
        <w:t xml:space="preserve">文献综述</w:t>
      </w:r>
    </w:p>
    <w:bookmarkStart w:id="31" w:name="对应后面的研究一"/>
    <w:p>
      <w:pPr>
        <w:pStyle w:val="3"/>
      </w:pPr>
      <w:r>
        <w:t xml:space="preserve">1.2.1 </w:t>
      </w:r>
      <w:r>
        <w:rPr>
          <w:rFonts w:hint="eastAsia"/>
        </w:rPr>
        <w:t xml:space="preserve">对应后面的研究一</w:t>
      </w:r>
    </w:p>
    <w:bookmarkEnd w:id="31"/>
    <w:bookmarkStart w:id="32" w:name="对应后面的研究一-1"/>
    <w:p>
      <w:pPr>
        <w:pStyle w:val="3"/>
      </w:pPr>
      <w:r>
        <w:t xml:space="preserve">1.2.2 </w:t>
      </w:r>
      <w:r>
        <w:rPr>
          <w:rFonts w:hint="eastAsia"/>
        </w:rPr>
        <w:t xml:space="preserve">对应后面的研究一</w:t>
      </w:r>
    </w:p>
    <w:bookmarkEnd w:id="32"/>
    <w:bookmarkStart w:id="33" w:name="对应后面的研究一-2"/>
    <w:p>
      <w:pPr>
        <w:pStyle w:val="3"/>
      </w:pPr>
      <w:r>
        <w:t xml:space="preserve">1.2.3 </w:t>
      </w:r>
      <w:r>
        <w:rPr>
          <w:rFonts w:hint="eastAsia"/>
        </w:rPr>
        <w:t xml:space="preserve">对应后面的研究一</w:t>
      </w:r>
    </w:p>
    <w:p>
      <w:pPr>
        <w:pStyle w:val="FirstParagraph"/>
      </w:pPr>
      <w:r>
        <w:rPr>
          <w:rFonts w:hint="eastAsia"/>
        </w:rPr>
        <w:t xml:space="preserve">相关文献整理主要分为收益率曲线构建的方法、FTP收益率曲线与收益率曲线、FTP收益率曲线对商业银行存款贷定价的影响和商业银行存贷款产品定价方法等四个方面。</w:t>
      </w:r>
    </w:p>
    <w:bookmarkEnd w:id="33"/>
    <w:bookmarkStart w:id="34" w:name="收益率曲线构建的方法"/>
    <w:p>
      <w:pPr>
        <w:pStyle w:val="3"/>
      </w:pPr>
      <w:r>
        <w:t xml:space="preserve">1.2.4 </w:t>
      </w:r>
      <w:r>
        <w:rPr>
          <w:rFonts w:hint="eastAsia"/>
        </w:rPr>
        <w:t xml:space="preserve">收益率曲线构建的方法</w:t>
      </w:r>
    </w:p>
    <w:bookmarkEnd w:id="34"/>
    <w:bookmarkStart w:id="35" w:name="ftp收益率曲线与收益率曲线"/>
    <w:p>
      <w:pPr>
        <w:pStyle w:val="3"/>
      </w:pPr>
      <w:r>
        <w:t xml:space="preserve">1.2.5 </w:t>
      </w:r>
      <w:r>
        <w:rPr>
          <w:rFonts w:hint="eastAsia"/>
        </w:rPr>
        <w:t xml:space="preserve">FTP收益率曲线与收益率曲线</w:t>
      </w:r>
    </w:p>
    <w:bookmarkEnd w:id="35"/>
    <w:bookmarkStart w:id="36" w:name="ftp收益率曲线对商业银行存款贷定价的影响"/>
    <w:p>
      <w:pPr>
        <w:pStyle w:val="3"/>
      </w:pPr>
      <w:r>
        <w:t xml:space="preserve">1.2.6 </w:t>
      </w:r>
      <w:r>
        <w:rPr>
          <w:rFonts w:hint="eastAsia"/>
        </w:rPr>
        <w:t xml:space="preserve">FTP收益率曲线对商业银行存款贷定价的影响</w:t>
      </w:r>
    </w:p>
    <w:bookmarkEnd w:id="36"/>
    <w:bookmarkStart w:id="37" w:name="共识分歧和有待解决的问题"/>
    <w:p>
      <w:pPr>
        <w:pStyle w:val="3"/>
      </w:pPr>
      <w:r>
        <w:t xml:space="preserve">1.2.7 </w:t>
      </w:r>
      <w:r>
        <w:rPr>
          <w:rFonts w:hint="eastAsia"/>
        </w:rPr>
        <w:t xml:space="preserve">共识、分歧和有待解决的问题</w:t>
      </w:r>
    </w:p>
    <w:bookmarkEnd w:id="37"/>
    <w:bookmarkEnd w:id="38"/>
    <w:bookmarkStart w:id="43" w:name="研究内容和方法"/>
    <w:p>
      <w:pPr>
        <w:pStyle w:val="2"/>
      </w:pPr>
      <w:r>
        <w:t xml:space="preserve">1.3 </w:t>
      </w:r>
      <w:r>
        <w:rPr>
          <w:rFonts w:hint="eastAsia"/>
        </w:rPr>
        <w:t xml:space="preserve">研究内容和方法</w:t>
      </w:r>
    </w:p>
    <w:bookmarkStart w:id="39" w:name="研究思路"/>
    <w:p>
      <w:pPr>
        <w:pStyle w:val="3"/>
      </w:pPr>
      <w:r>
        <w:t xml:space="preserve">1.3.1 </w:t>
      </w:r>
      <w:r>
        <w:rPr>
          <w:rFonts w:hint="eastAsia"/>
        </w:rPr>
        <w:t xml:space="preserve">研究思路</w:t>
      </w:r>
    </w:p>
    <w:p>
      <w:pPr>
        <w:pStyle w:val="FirstParagraph"/>
      </w:pPr>
      <w:r>
        <w:rPr>
          <w:rFonts w:hint="eastAsia"/>
        </w:rPr>
        <w:t xml:space="preserve">根据选题的研究内容和目的，本选题综合应用文献研读法、比较分析法、理论与实证分析相结合等方法，按照提出理论分析框架和假说、实证分析、验证假说的思路框架行文。在梳理了利率市场化、收益率曲线、利率期限结构、FTP</w:t>
      </w:r>
      <w:r>
        <w:t xml:space="preserve"> </w:t>
      </w:r>
      <w:r>
        <w:rPr>
          <w:rFonts w:hint="eastAsia"/>
        </w:rPr>
        <w:t xml:space="preserve">收益率曲线、内部资金转移定价（FTP）相关研究文献后，对现有的研究进行述评，明确本选题的切入点，构建理论分析框架，奠定数理分析基础。</w:t>
      </w:r>
    </w:p>
    <w:bookmarkEnd w:id="39"/>
    <w:bookmarkStart w:id="40" w:name="研究内容"/>
    <w:p>
      <w:pPr>
        <w:pStyle w:val="3"/>
      </w:pPr>
      <w:r>
        <w:t xml:space="preserve">1.3.2 </w:t>
      </w:r>
      <w:r>
        <w:rPr>
          <w:rFonts w:hint="eastAsia"/>
        </w:rPr>
        <w:t xml:space="preserve">研究内容</w:t>
      </w:r>
    </w:p>
    <w:p>
      <w:pPr>
        <w:pStyle w:val="FirstParagraph"/>
      </w:pPr>
      <w:r>
        <w:rPr>
          <w:rFonts w:hint="eastAsia"/>
        </w:rPr>
        <w:t xml:space="preserve">研究内容主要分为以下几个部分：</w:t>
      </w:r>
    </w:p>
    <w:p>
      <w:pPr>
        <w:pStyle w:val="a0"/>
      </w:pPr>
      <w:r>
        <w:rPr>
          <w:rFonts w:hint="eastAsia"/>
        </w:rPr>
        <w:t xml:space="preserve">一是我国商业银行内部资金转移定价的实践分析。从我国商业银行的</w:t>
      </w:r>
      <w:r>
        <w:t xml:space="preserve"> FTP </w:t>
      </w:r>
      <w:r>
        <w:rPr>
          <w:rFonts w:hint="eastAsia"/>
        </w:rPr>
        <w:t xml:space="preserve">实践出发，指出构建基于市场化的、动态调整的</w:t>
      </w:r>
      <w:r>
        <w:t xml:space="preserve"> FTP </w:t>
      </w:r>
      <w:r>
        <w:rPr>
          <w:rFonts w:hint="eastAsia"/>
        </w:rPr>
        <w:t xml:space="preserve">收益率曲线是科学的</w:t>
      </w:r>
      <w:r>
        <w:t xml:space="preserve"> FTP </w:t>
      </w:r>
      <w:r>
        <w:rPr>
          <w:rFonts w:hint="eastAsia"/>
        </w:rPr>
        <w:t xml:space="preserve">定价机制的核心。首先，深入分析商业银行</w:t>
      </w:r>
      <w:r>
        <w:t xml:space="preserve"> FTP </w:t>
      </w:r>
      <w:r>
        <w:rPr>
          <w:rFonts w:hint="eastAsia"/>
        </w:rPr>
        <w:t xml:space="preserve">在精细化管理和利率市场化进程中的作用。在此基础上，从我国商业银行</w:t>
      </w:r>
      <w:r>
        <w:t xml:space="preserve"> FTP </w:t>
      </w:r>
      <w:r>
        <w:rPr>
          <w:rFonts w:hint="eastAsia"/>
        </w:rPr>
        <w:t xml:space="preserve">应用实践出发，指出</w:t>
      </w:r>
      <w:r>
        <w:t xml:space="preserve"> FTP </w:t>
      </w:r>
      <w:r>
        <w:rPr>
          <w:rFonts w:hint="eastAsia"/>
        </w:rPr>
        <w:t xml:space="preserve">定价中仍存在的问题。</w:t>
      </w:r>
    </w:p>
    <w:p>
      <w:pPr>
        <w:pStyle w:val="a0"/>
      </w:pPr>
      <w:r>
        <w:rPr>
          <w:rFonts w:hint="eastAsia"/>
        </w:rPr>
        <w:t xml:space="preserve">二是商业银行</w:t>
      </w:r>
      <w:r>
        <w:t xml:space="preserve"> FTP </w:t>
      </w:r>
      <w:r>
        <w:rPr>
          <w:rFonts w:hint="eastAsia"/>
        </w:rPr>
        <w:t xml:space="preserve">定价理论、模式及欧美应用实践。通过对国内外商业银行</w:t>
      </w:r>
      <w:r>
        <w:t xml:space="preserve"> FTP </w:t>
      </w:r>
      <w:r>
        <w:rPr>
          <w:rFonts w:hint="eastAsia"/>
        </w:rPr>
        <w:t xml:space="preserve">研究的文献梳理、主要定价模式和方法以及欧美商业银行</w:t>
      </w:r>
      <w:r>
        <w:t xml:space="preserve"> FTP </w:t>
      </w:r>
      <w:r>
        <w:rPr>
          <w:rFonts w:hint="eastAsia"/>
        </w:rPr>
        <w:t xml:space="preserve">应用实践经验的分析，总结欧美国家经验对我国商业银行的启示，尤其是市场化的基准利率对商业银行有效进行</w:t>
      </w:r>
      <w:r>
        <w:t xml:space="preserve"> FTP </w:t>
      </w:r>
      <w:r>
        <w:rPr>
          <w:rFonts w:hint="eastAsia"/>
        </w:rPr>
        <w:t xml:space="preserve">定价的作用。</w:t>
      </w:r>
    </w:p>
    <w:p>
      <w:pPr>
        <w:pStyle w:val="a0"/>
      </w:pPr>
      <w:r>
        <w:rPr>
          <w:rFonts w:hint="eastAsia"/>
        </w:rPr>
        <w:t xml:space="preserve">三是我国利率市场化进程分析及测度。利率市场化程度越高，基准利率就越能反映市场对资金的供求情况和资金的机会成本，基于基准利率构建的</w:t>
      </w:r>
      <w:r>
        <w:t xml:space="preserve"> FTP </w:t>
      </w:r>
      <w:r>
        <w:rPr>
          <w:rFonts w:hint="eastAsia"/>
        </w:rPr>
        <w:t xml:space="preserve">收益率曲线就越科学，因此有必要首先对我国利率市场化进程进行测度。我国利率市场化进程及测度章节研究了如下内容：第一，梳理利率市场化的进程，指出我国仍然存在的“利率双轨制”问题。第二，分别从与利率紧密相关的三个重要市场（货币市场、债券市场、信贷市场）出发，测算各个市场的利率市场化程度，并构建衡量我国利率市场化水平的综合指标，找出影响我国整体利率市场化进程可能的原因。第三，讨论了利率双轨制可能带来的问题。</w:t>
      </w:r>
    </w:p>
    <w:p>
      <w:pPr>
        <w:pStyle w:val="a0"/>
      </w:pPr>
      <w:r>
        <w:rPr>
          <w:rFonts w:hint="eastAsia"/>
        </w:rPr>
        <w:t xml:space="preserve">四是我国利率市场化进程中基准利率曲线的选择与确立问题。研究基准利率曲线的选择和确立问题，是构建</w:t>
      </w:r>
      <w:r>
        <w:t xml:space="preserve"> FTP </w:t>
      </w:r>
      <w:r>
        <w:rPr>
          <w:rFonts w:hint="eastAsia"/>
        </w:rPr>
        <w:t xml:space="preserve">收益率曲线的基础，本章选取了市场化程度较高、交易量较大的</w:t>
      </w:r>
      <w:r>
        <w:t xml:space="preserve"> </w:t>
      </w:r>
      <w:r>
        <w:rPr>
          <w:rFonts w:hint="eastAsia"/>
        </w:rPr>
        <w:t xml:space="preserve">SHIBOR、同业存单、国债、商业银行普通债等备选项，结合经典的利率期限结构理论和收益率曲线模型，验证它们是否具有市场化基准利率的代表性。</w:t>
      </w:r>
    </w:p>
    <w:p>
      <w:pPr>
        <w:pStyle w:val="a0"/>
      </w:pPr>
      <w:r>
        <w:rPr>
          <w:rFonts w:hint="eastAsia"/>
        </w:rPr>
        <w:t xml:space="preserve">五是科学构建</w:t>
      </w:r>
      <w:r>
        <w:t xml:space="preserve"> FTP </w:t>
      </w:r>
      <w:r>
        <w:rPr>
          <w:rFonts w:hint="eastAsia"/>
        </w:rPr>
        <w:t xml:space="preserve">收益率曲线理论与实证分析。首先，在基准利率曲线的基础上，分析基准利率曲线做为</w:t>
      </w:r>
      <w:r>
        <w:t xml:space="preserve"> FTP </w:t>
      </w:r>
      <w:r>
        <w:rPr>
          <w:rFonts w:hint="eastAsia"/>
        </w:rPr>
        <w:t xml:space="preserve">收益率曲线的必要性、可行性和非完备性。在此基础上提出构建统一的</w:t>
      </w:r>
      <w:r>
        <w:t xml:space="preserve"> FTP </w:t>
      </w:r>
      <w:r>
        <w:rPr>
          <w:rFonts w:hint="eastAsia"/>
        </w:rPr>
        <w:t xml:space="preserve">收益率曲线框架，母线</w:t>
      </w:r>
      <w:r>
        <w:t xml:space="preserve"> + </w:t>
      </w:r>
      <w:r>
        <w:rPr>
          <w:rFonts w:hint="eastAsia"/>
        </w:rPr>
        <w:t xml:space="preserve">融资溢价两部分组，即基于基准利率的收益率曲线做为</w:t>
      </w:r>
      <w:r>
        <w:t xml:space="preserve"> FTP </w:t>
      </w:r>
      <w:r>
        <w:rPr>
          <w:rFonts w:hint="eastAsia"/>
        </w:rPr>
        <w:t xml:space="preserve">收益率曲线的母线，融资溢价则主要由于商业银行信用评级的差异所导致。最后，对商业银行信用评级和融资溢价关系面板数据实证分析，验证信用评级的变化对融资溢价影响之间的关系，给出不同信用评级下不同期限利率的融资溢价。最终实现构建基于市场的、动态调整的科学</w:t>
      </w:r>
      <w:r>
        <w:t xml:space="preserve"> FTP </w:t>
      </w:r>
      <w:r>
        <w:rPr>
          <w:rFonts w:hint="eastAsia"/>
        </w:rPr>
        <w:t xml:space="preserve">收益率曲线这一研究目的。</w:t>
      </w:r>
    </w:p>
    <w:bookmarkEnd w:id="40"/>
    <w:bookmarkStart w:id="41" w:name="研究方法"/>
    <w:p>
      <w:pPr>
        <w:pStyle w:val="3"/>
      </w:pPr>
      <w:r>
        <w:t xml:space="preserve">1.3.3 </w:t>
      </w:r>
      <w:r>
        <w:rPr>
          <w:rFonts w:hint="eastAsia"/>
        </w:rPr>
        <w:t xml:space="preserve">研究方法</w:t>
      </w:r>
    </w:p>
    <w:p>
      <w:pPr>
        <w:pStyle w:val="FirstParagraph"/>
      </w:pPr>
      <w:r>
        <w:rPr>
          <w:rFonts w:hint="eastAsia"/>
        </w:rPr>
        <w:t xml:space="preserve">在基本方法论上，本研究将坚持经验分析与理论分析相统一，实证分析与规范分析相结合的基本原则，从金融学视角来观察分析这一问题的同时，密切关注国内外商业银行</w:t>
      </w:r>
      <w:r>
        <w:t xml:space="preserve"> FTP </w:t>
      </w:r>
      <w:r>
        <w:rPr>
          <w:rFonts w:hint="eastAsia"/>
        </w:rPr>
        <w:t xml:space="preserve">应用实践和我国利率双轨制现状，对我国利率市场化情况、基准利率的选择、动态</w:t>
      </w:r>
      <w:r>
        <w:t xml:space="preserve"> FTP </w:t>
      </w:r>
      <w:r>
        <w:rPr>
          <w:rFonts w:hint="eastAsia"/>
        </w:rPr>
        <w:t xml:space="preserve">收益率曲线的构建等展开研究。本选题具体所采取的研究方法如下：</w:t>
      </w:r>
    </w:p>
    <w:p>
      <w:pPr>
        <w:pStyle w:val="a0"/>
      </w:pPr>
      <w:r>
        <w:rPr>
          <w:rFonts w:hint="eastAsia"/>
        </w:rPr>
        <w:t xml:space="preserve">1.文献梳理、文献计量与研读法。通过查阅近年来有关利率市场化、利率期限结构、收益率曲线、FTP</w:t>
      </w:r>
      <w:r>
        <w:t xml:space="preserve"> </w:t>
      </w:r>
      <w:r>
        <w:rPr>
          <w:rFonts w:hint="eastAsia"/>
        </w:rPr>
        <w:t xml:space="preserve">收益率曲线、内部资金转移定价（FTP）相关研究文献，为本选题的研究奠定了良好的理论基础，对相关文献的广泛研读，从大量的资料中寻找有效信息点并加以分析判断，形成主题概念。对掌握的文献进行分类，找出共同点和研究的不足，从而为获得一些解决问题的思路和方法打开窗口，找出本选题的研究突破口。同时，为了高效精准阅读与本论文题目研究方向一致和近似的文献，可以借助bibliometrix</w:t>
      </w:r>
      <w:r>
        <w:t xml:space="preserve"> </w:t>
      </w:r>
      <w:r>
        <w:rPr>
          <w:rFonts w:hint="eastAsia"/>
        </w:rPr>
        <w:t xml:space="preserve">和</w:t>
      </w:r>
      <w:r>
        <w:t xml:space="preserve"> Citespace </w:t>
      </w:r>
      <w:r>
        <w:rPr>
          <w:rFonts w:hint="eastAsia"/>
        </w:rPr>
        <w:t xml:space="preserve">等软件，找处高被引文献、机构和作者等，梳理了出整体研究脉络。</w:t>
      </w:r>
    </w:p>
    <w:p>
      <w:pPr>
        <w:pStyle w:val="a0"/>
      </w:pPr>
      <w:r>
        <w:rPr>
          <w:rFonts w:hint="eastAsia"/>
        </w:rPr>
        <w:t xml:space="preserve">2.统计分析与比较研究。FTP</w:t>
      </w:r>
      <w:r>
        <w:t xml:space="preserve"> </w:t>
      </w:r>
      <w:r>
        <w:rPr>
          <w:rFonts w:hint="eastAsia"/>
        </w:rPr>
        <w:t xml:space="preserve">收益率曲线的构建必须基于市场基准利率，并随着市场利率的变动动态调整，如此，商业银行才能充分发挥价格机制的传导和信号作用，优化资源配置，因此基准利率的选择是否科学关系到</w:t>
      </w:r>
      <w:r>
        <w:t xml:space="preserve"> FTP </w:t>
      </w:r>
      <w:r>
        <w:rPr>
          <w:rFonts w:hint="eastAsia"/>
        </w:rPr>
        <w:t xml:space="preserve">收益率曲线的构建是否科学。目前市场上交易量比较大、交易笔数笔数比较多，比较有代表性的市场利率包括</w:t>
      </w:r>
      <w:r>
        <w:t xml:space="preserve"> SHIBOR </w:t>
      </w:r>
      <w:r>
        <w:rPr>
          <w:rFonts w:hint="eastAsia"/>
        </w:rPr>
        <w:t xml:space="preserve">、同业存单、国债、商业银行普通债等，同时通过调研发现，商业银行在实践中普遍采用这些有代表性的市场利率做为构建</w:t>
      </w:r>
      <w:r>
        <w:t xml:space="preserve"> FTP </w:t>
      </w:r>
      <w:r>
        <w:rPr>
          <w:rFonts w:hint="eastAsia"/>
        </w:rPr>
        <w:t xml:space="preserve">收益率曲线的基础，但是当前我国利率双轨制下，利率市场化程度如何？SHIBOR</w:t>
      </w:r>
      <w:r>
        <w:t xml:space="preserve"> </w:t>
      </w:r>
      <w:r>
        <w:rPr>
          <w:rFonts w:hint="eastAsia"/>
        </w:rPr>
        <w:t xml:space="preserve">、同业存单、国债、商业银行普通债等是否具有代表性，即使具有一定的代表性，那么交叉重叠部分该如何取舍？因此首先需要利用一定的统计学方法对利率市场化进行度量，并对三个市场度量结果进行比较分析，在此基础上优先选用利率市场化比较高的市场利率做为基准利率。</w:t>
      </w:r>
    </w:p>
    <w:p>
      <w:pPr>
        <w:pStyle w:val="a0"/>
      </w:pPr>
      <w:r>
        <w:rPr>
          <w:rFonts w:hint="eastAsia"/>
        </w:rPr>
        <w:t xml:space="preserve">3.理论与实证分析相结合。论文选题理论性较强，目前国内外有大量关于利率期限结构和收益率曲线建模的文献，可以通过《中国金融年鉴》、万得、中国债券信息网等获取数据对各个模型得适用性进行验证。同时，可以在现有期限结构理论得指导下，通过寻找数据，建立收益率曲线模型对</w:t>
      </w:r>
      <w:r>
        <w:t xml:space="preserve"> SHIBOR </w:t>
      </w:r>
      <w:r>
        <w:rPr>
          <w:rFonts w:hint="eastAsia"/>
        </w:rPr>
        <w:t xml:space="preserve">、同业存单、国债、商业银行普通债等做为基准利率的适用性进行实证检验。</w:t>
      </w:r>
    </w:p>
    <w:p>
      <w:pPr>
        <w:pStyle w:val="a0"/>
      </w:pPr>
      <w:r>
        <w:rPr>
          <w:rFonts w:hint="eastAsia"/>
        </w:rPr>
        <w:t xml:space="preserve">4.归纳和演绎相结合。通过调研不同商业银行构建</w:t>
      </w:r>
      <w:r>
        <w:t xml:space="preserve"> FTP </w:t>
      </w:r>
      <w:r>
        <w:rPr>
          <w:rFonts w:hint="eastAsia"/>
        </w:rPr>
        <w:t xml:space="preserve">收益率曲线的逻辑，发现不同商业银行构建的</w:t>
      </w:r>
      <w:r>
        <w:t xml:space="preserve"> FTP </w:t>
      </w:r>
      <w:r>
        <w:rPr>
          <w:rFonts w:hint="eastAsia"/>
        </w:rPr>
        <w:t xml:space="preserve">收益率曲线与市场上实际的交易利率有差异，但是基本上都是基于市场上成熟的市场利率为基础，因此，可以抽象出一般化的统一的</w:t>
      </w:r>
      <w:r>
        <w:t xml:space="preserve"> FTP </w:t>
      </w:r>
      <w:r>
        <w:rPr>
          <w:rFonts w:hint="eastAsia"/>
        </w:rPr>
        <w:t xml:space="preserve">收益率曲线构建逻辑，即母线</w:t>
      </w:r>
      <w:r>
        <w:t xml:space="preserve"> + </w:t>
      </w:r>
      <w:r>
        <w:rPr>
          <w:rFonts w:hint="eastAsia"/>
        </w:rPr>
        <w:t xml:space="preserve">融资溢价两部分组，其中母线基于市场化的基准利率，融资溢价则主要考虑信用评级的差异导致，这个一般化的构建逻辑适用于所有商业银行，为科学构建动态的、基于市场化的</w:t>
      </w:r>
      <w:r>
        <w:t xml:space="preserve"> FTP </w:t>
      </w:r>
      <w:r>
        <w:rPr>
          <w:rFonts w:hint="eastAsia"/>
        </w:rPr>
        <w:t xml:space="preserve">收益率曲线提供统一的框架。</w:t>
      </w:r>
    </w:p>
    <w:bookmarkEnd w:id="41"/>
    <w:bookmarkStart w:id="42" w:name="论文框架"/>
    <w:p>
      <w:pPr>
        <w:pStyle w:val="3"/>
      </w:pPr>
      <w:r>
        <w:t xml:space="preserve">1.3.4 </w:t>
      </w:r>
      <w:r>
        <w:rPr>
          <w:rFonts w:hint="eastAsia"/>
        </w:rPr>
        <w:t xml:space="preserve">论文框架</w:t>
      </w:r>
    </w:p>
    <w:bookmarkEnd w:id="42"/>
    <w:bookmarkEnd w:id="43"/>
    <w:bookmarkStart w:id="46" w:name="创新之处与研究局限"/>
    <w:p>
      <w:pPr>
        <w:pStyle w:val="2"/>
      </w:pPr>
      <w:r>
        <w:t xml:space="preserve">1.4 </w:t>
      </w:r>
      <w:r>
        <w:rPr>
          <w:rFonts w:hint="eastAsia"/>
        </w:rPr>
        <w:t xml:space="preserve">创新之处与研究局限</w:t>
      </w:r>
    </w:p>
    <w:bookmarkStart w:id="44" w:name="创新之处"/>
    <w:p>
      <w:pPr>
        <w:pStyle w:val="3"/>
      </w:pPr>
      <w:r>
        <w:t xml:space="preserve">1.4.1 </w:t>
      </w:r>
      <w:r>
        <w:rPr>
          <w:rFonts w:hint="eastAsia"/>
        </w:rPr>
        <w:t xml:space="preserve">创新之处</w:t>
      </w:r>
    </w:p>
    <w:p>
      <w:pPr>
        <w:pStyle w:val="FirstParagraph"/>
      </w:pPr>
      <w:r>
        <w:rPr>
          <w:rFonts w:hint="eastAsia"/>
        </w:rPr>
        <w:t xml:space="preserve">当前我国商业银行构建</w:t>
      </w:r>
      <w:r>
        <w:t xml:space="preserve"> FTP </w:t>
      </w:r>
      <w:r>
        <w:rPr>
          <w:rFonts w:hint="eastAsia"/>
        </w:rPr>
        <w:t xml:space="preserve">系统主要是借助咨询公司的力量，尤其是</w:t>
      </w:r>
      <w:r>
        <w:t xml:space="preserve"> FTP </w:t>
      </w:r>
      <w:r>
        <w:rPr>
          <w:rFonts w:hint="eastAsia"/>
        </w:rPr>
        <w:t xml:space="preserve">收益率曲线的构建主要依靠经验，缺少理论基础，构建的</w:t>
      </w:r>
      <w:r>
        <w:t xml:space="preserve"> FTP </w:t>
      </w:r>
      <w:r>
        <w:rPr>
          <w:rFonts w:hint="eastAsia"/>
        </w:rPr>
        <w:t xml:space="preserve">收益率是否科学无从验证，当商业银行信用评级调整后，FTP</w:t>
      </w:r>
      <w:r>
        <w:t xml:space="preserve"> </w:t>
      </w:r>
      <w:r>
        <w:rPr>
          <w:rFonts w:hint="eastAsia"/>
        </w:rPr>
        <w:t xml:space="preserve">收益率曲线该如何相应调整缺少科学的依据。为我国商业银行构建统一的</w:t>
      </w:r>
      <w:r>
        <w:t xml:space="preserve"> FTP </w:t>
      </w:r>
      <w:r>
        <w:rPr>
          <w:rFonts w:hint="eastAsia"/>
        </w:rPr>
        <w:t xml:space="preserve">收益率曲线母线提供思路，为商业银行根据信用评级等动态调整</w:t>
      </w:r>
      <w:r>
        <w:t xml:space="preserve"> FTP </w:t>
      </w:r>
      <w:r>
        <w:rPr>
          <w:rFonts w:hint="eastAsia"/>
        </w:rPr>
        <w:t xml:space="preserve">收益率曲线提供理论指导。</w:t>
      </w:r>
    </w:p>
    <w:bookmarkEnd w:id="44"/>
    <w:bookmarkStart w:id="45" w:name="研究局限"/>
    <w:p>
      <w:pPr>
        <w:pStyle w:val="3"/>
      </w:pPr>
      <w:r>
        <w:t xml:space="preserve">1.4.2 </w:t>
      </w:r>
      <w:r>
        <w:rPr>
          <w:rFonts w:hint="eastAsia"/>
        </w:rPr>
        <w:t xml:space="preserve">研究局限</w:t>
      </w:r>
    </w:p>
    <w:p>
      <w:pPr>
        <w:pStyle w:val="FirstParagraph"/>
      </w:pPr>
      <w:r>
        <w:rPr>
          <w:rFonts w:hint="eastAsia"/>
        </w:rPr>
        <w:t xml:space="preserve">1.基准利率曲线的选择于确立问题，而且</w:t>
      </w:r>
      <w:r>
        <w:t xml:space="preserve"> </w:t>
      </w:r>
      <w:r>
        <w:rPr>
          <w:rFonts w:hint="eastAsia"/>
        </w:rPr>
        <w:t xml:space="preserve">SHIBOR、同业存单、国债、商业银行普通债等收益率曲线之间有交叉重叠部分，如何取舍比较困难，需要借助成熟的利率期限结构理论和收益率曲线模型进行认真验证，慎重取舍。</w:t>
      </w:r>
    </w:p>
    <w:p>
      <w:pPr>
        <w:pStyle w:val="a0"/>
      </w:pPr>
      <w:r>
        <w:rPr>
          <w:rFonts w:hint="eastAsia"/>
        </w:rPr>
        <w:t xml:space="preserve">2.在确定基准利率曲线的基础上，影响商业银行</w:t>
      </w:r>
      <w:r>
        <w:t xml:space="preserve"> FTP </w:t>
      </w:r>
      <w:r>
        <w:rPr>
          <w:rFonts w:hint="eastAsia"/>
        </w:rPr>
        <w:t xml:space="preserve">收益率曲线的除了自身信用评级外，可能还有其他因素的影响。另外不同信用评级、不同期限融资溢价的计算量比较大。</w:t>
      </w:r>
    </w:p>
    <w:p>
      <w:pPr>
        <w:pStyle w:val="a0"/>
      </w:pPr>
      <w:r>
        <w:rPr>
          <w:rFonts w:hint="eastAsia"/>
        </w:rPr>
        <w:t xml:space="preserve">3.商业银行在</w:t>
      </w:r>
      <w:r>
        <w:t xml:space="preserve"> FTP </w:t>
      </w:r>
      <w:r>
        <w:rPr>
          <w:rFonts w:hint="eastAsia"/>
        </w:rPr>
        <w:t xml:space="preserve">运用过程中需要平衡收益、风险和流动性之间关系，如何建立科学合理的机制进行公平绩效考核面临许多挑战。</w:t>
      </w:r>
    </w:p>
    <w:bookmarkEnd w:id="45"/>
    <w:bookmarkEnd w:id="46"/>
    <w:bookmarkStart w:id="47" w:name="本章小结"/>
    <w:p>
      <w:pPr>
        <w:pStyle w:val="2"/>
      </w:pPr>
      <w:r>
        <w:t xml:space="preserve">1.5 </w:t>
      </w:r>
      <w:r>
        <w:rPr>
          <w:rFonts w:hint="eastAsia"/>
        </w:rPr>
        <w:t xml:space="preserve">本章小结</w:t>
      </w:r>
    </w:p>
    <w:p>
      <w:r>
        <w:br w:type="page"/>
      </w:r>
    </w:p>
    <w:bookmarkEnd w:id="47"/>
    <w:bookmarkEnd w:id="48"/>
    <w:bookmarkStart w:id="63" w:name="theory"/>
    <w:p>
      <w:pPr>
        <w:pStyle w:val="1"/>
      </w:pPr>
      <w:r>
        <w:t xml:space="preserve">2. FTP </w:t>
      </w:r>
      <w:r>
        <w:rPr>
          <w:rFonts w:hint="eastAsia"/>
        </w:rPr>
        <w:t xml:space="preserve">定价理论与实践</w:t>
      </w:r>
    </w:p>
    <w:bookmarkStart w:id="55" w:name="ftp-定价理论概述"/>
    <w:p>
      <w:pPr>
        <w:pStyle w:val="2"/>
      </w:pPr>
      <w:r>
        <w:t xml:space="preserve">2.1 FTP </w:t>
      </w:r>
      <w:r>
        <w:rPr>
          <w:rFonts w:hint="eastAsia"/>
        </w:rPr>
        <w:t xml:space="preserve">定价理论概述</w:t>
      </w:r>
    </w:p>
    <w:bookmarkStart w:id="51" w:name="内部资金转移定价概念界定"/>
    <w:p>
      <w:pPr>
        <w:pStyle w:val="3"/>
      </w:pPr>
      <w:r>
        <w:t xml:space="preserve">2.1.1 </w:t>
      </w:r>
      <w:r>
        <w:rPr>
          <w:rFonts w:hint="eastAsia"/>
        </w:rPr>
        <w:t xml:space="preserve">内部资金转移定价概念界定</w:t>
      </w:r>
    </w:p>
    <w:p>
      <w:pPr>
        <w:pStyle w:val="FirstParagraph"/>
      </w:pPr>
      <w:r>
        <w:rPr>
          <w:rFonts w:hint="eastAsia"/>
        </w:rPr>
        <w:t xml:space="preserve">中国人民银行市场利率定价自律机制给出的</w:t>
      </w:r>
      <w:r>
        <w:t xml:space="preserve"> </w:t>
      </w:r>
      <w:r>
        <w:rPr>
          <w:rFonts w:hint="eastAsia"/>
        </w:rPr>
        <w:t xml:space="preserve">内部资金转移定价的概念是：内部资金转移定价（FTP）是指金融机构内部资金中心与业务经营单位按照一定规则全额有偿转移资金，达到核算业务资金成本或收益等目的的一种内部经营管理模式。业务经营单位每笔负债业务所筹集的资金，均以该业务的FTP价格全额向资金中心转移；每笔资产业务所需要的资金，均以该业务的FTP价格全额向资金中心购买</w:t>
      </w:r>
      <w:r>
        <w:rPr>
          <w:rStyle w:val="af2"/>
        </w:rPr>
        <w:footnoteReference w:id="49"/>
      </w:r>
      <w:r>
        <w:t xml:space="preserve">。</w:t>
      </w:r>
    </w:p>
    <w:p>
      <w:pPr>
        <w:pStyle w:val="a0"/>
      </w:pPr>
      <w:r>
        <w:rPr>
          <w:rFonts w:hint="eastAsia"/>
        </w:rPr>
        <w:t xml:space="preserve">但是上述概念未提及</w:t>
      </w:r>
      <w:r>
        <w:t xml:space="preserve"> FTP </w:t>
      </w:r>
      <w:r>
        <w:rPr>
          <w:rFonts w:hint="eastAsia"/>
        </w:rPr>
        <w:t xml:space="preserve">的作用和目的，因此本文对</w:t>
      </w:r>
      <w:r>
        <w:t xml:space="preserve"> FTP </w:t>
      </w:r>
      <w:r>
        <w:rPr>
          <w:rFonts w:hint="eastAsia"/>
        </w:rPr>
        <w:t xml:space="preserve">概念界定如下：内部资金转移定价（Funds</w:t>
      </w:r>
      <w:r>
        <w:t xml:space="preserve"> Transfer </w:t>
      </w:r>
      <w:r>
        <w:rPr>
          <w:rFonts w:hint="eastAsia"/>
        </w:rPr>
        <w:t xml:space="preserve">Pricing，即</w:t>
      </w:r>
      <w:r>
        <w:t xml:space="preserve"> </w:t>
      </w:r>
      <w:r>
        <w:rPr>
          <w:rFonts w:hint="eastAsia"/>
        </w:rPr>
        <w:t xml:space="preserve">FTP）是商业银行内部资金中心与业务经营单位按照一定规则有偿转移资金，以传导经营政策、核算不同业务资金成本和收益、评价不同业务盈利贡献、集中利率风险和流动性风险的资产负债管理手段之一</w:t>
      </w:r>
      <w:r>
        <w:rPr>
          <w:rStyle w:val="af2"/>
        </w:rPr>
        <w:footnoteReference w:id="50"/>
      </w:r>
      <w:r>
        <w:t xml:space="preserve">。</w:t>
      </w:r>
    </w:p>
    <w:p>
      <w:pPr>
        <w:pStyle w:val="a0"/>
      </w:pPr>
      <w:r>
        <w:rPr>
          <w:rFonts w:hint="eastAsia"/>
        </w:rPr>
        <w:t xml:space="preserve">需要强调的是，</w:t>
      </w:r>
    </w:p>
    <w:bookmarkEnd w:id="51"/>
    <w:bookmarkStart w:id="52" w:name="内部资金转移定价的职能和作用机制"/>
    <w:p>
      <w:pPr>
        <w:pStyle w:val="3"/>
      </w:pPr>
      <w:r>
        <w:t xml:space="preserve">2.1.2 </w:t>
      </w:r>
      <w:r>
        <w:rPr>
          <w:rFonts w:hint="eastAsia"/>
        </w:rPr>
        <w:t xml:space="preserve">内部资金转移定价的职能和作用机制</w:t>
      </w:r>
    </w:p>
    <w:bookmarkEnd w:id="52"/>
    <w:bookmarkStart w:id="53" w:name="商业银行资金成本核算和-ftp-定价方法"/>
    <w:p>
      <w:pPr>
        <w:pStyle w:val="3"/>
      </w:pPr>
      <w:r>
        <w:t xml:space="preserve">2.1.3 </w:t>
      </w:r>
      <w:r>
        <w:rPr>
          <w:rFonts w:hint="eastAsia"/>
        </w:rPr>
        <w:t xml:space="preserve">商业银行资金成本核算和</w:t>
      </w:r>
      <w:r>
        <w:t xml:space="preserve"> FTP </w:t>
      </w:r>
      <w:r>
        <w:rPr>
          <w:rFonts w:hint="eastAsia"/>
        </w:rPr>
        <w:t xml:space="preserve">定价方法</w:t>
      </w:r>
    </w:p>
    <w:bookmarkEnd w:id="53"/>
    <w:bookmarkStart w:id="54" w:name="利率市场化与收益率曲线之间的关系"/>
    <w:p>
      <w:pPr>
        <w:pStyle w:val="3"/>
      </w:pPr>
      <w:r>
        <w:t xml:space="preserve">2.1.4 </w:t>
      </w:r>
      <w:r>
        <w:rPr>
          <w:rFonts w:hint="eastAsia"/>
        </w:rPr>
        <w:t xml:space="preserve">利率市场化与收益率曲线之间的关系</w:t>
      </w:r>
    </w:p>
    <w:bookmarkEnd w:id="54"/>
    <w:bookmarkEnd w:id="55"/>
    <w:bookmarkStart w:id="56" w:name="利率期限结构理论概述"/>
    <w:p>
      <w:pPr>
        <w:pStyle w:val="2"/>
      </w:pPr>
      <w:r>
        <w:t xml:space="preserve">2.2 </w:t>
      </w:r>
      <w:r>
        <w:rPr>
          <w:rFonts w:hint="eastAsia"/>
        </w:rPr>
        <w:t xml:space="preserve">利率期限结构理论概述</w:t>
      </w:r>
    </w:p>
    <w:bookmarkEnd w:id="56"/>
    <w:bookmarkStart w:id="60" w:name="商业银行-ftp-定价实践分析"/>
    <w:p>
      <w:pPr>
        <w:pStyle w:val="2"/>
      </w:pPr>
      <w:r>
        <w:t xml:space="preserve">2.3 </w:t>
      </w:r>
      <w:r>
        <w:rPr>
          <w:rFonts w:hint="eastAsia"/>
        </w:rPr>
        <w:t xml:space="preserve">商业银行</w:t>
      </w:r>
      <w:r>
        <w:t xml:space="preserve"> FTP </w:t>
      </w:r>
      <w:r>
        <w:rPr>
          <w:rFonts w:hint="eastAsia"/>
        </w:rPr>
        <w:t xml:space="preserve">定价实践分析</w:t>
      </w:r>
    </w:p>
    <w:bookmarkStart w:id="57" w:name="ftp-在精细化管理和利率市场化进程中的作用"/>
    <w:p>
      <w:pPr>
        <w:pStyle w:val="3"/>
      </w:pPr>
      <w:r>
        <w:t xml:space="preserve">2.3.1 FTP </w:t>
      </w:r>
      <w:r>
        <w:rPr>
          <w:rFonts w:hint="eastAsia"/>
        </w:rPr>
        <w:t xml:space="preserve">在精细化管理和利率市场化进程中的作用</w:t>
      </w:r>
    </w:p>
    <w:bookmarkEnd w:id="57"/>
    <w:bookmarkStart w:id="58" w:name="我国商业银行-ftp-定价中存在的问题"/>
    <w:p>
      <w:pPr>
        <w:pStyle w:val="3"/>
      </w:pPr>
      <w:r>
        <w:t xml:space="preserve">2.3.2 </w:t>
      </w:r>
      <w:r>
        <w:rPr>
          <w:rFonts w:hint="eastAsia"/>
        </w:rPr>
        <w:t xml:space="preserve">我国商业银行</w:t>
      </w:r>
      <w:r>
        <w:t xml:space="preserve"> FTP </w:t>
      </w:r>
      <w:r>
        <w:rPr>
          <w:rFonts w:hint="eastAsia"/>
        </w:rPr>
        <w:t xml:space="preserve">定价中存在的问题</w:t>
      </w:r>
    </w:p>
    <w:bookmarkEnd w:id="58"/>
    <w:bookmarkStart w:id="59" w:name="欧美国家商业银行-ftp-应用实践及对我国的启示"/>
    <w:p>
      <w:pPr>
        <w:pStyle w:val="3"/>
      </w:pPr>
      <w:r>
        <w:t xml:space="preserve">2.3.3 </w:t>
      </w:r>
      <w:r>
        <w:rPr>
          <w:rFonts w:hint="eastAsia"/>
        </w:rPr>
        <w:t xml:space="preserve">欧美国家商业银行</w:t>
      </w:r>
      <w:r>
        <w:t xml:space="preserve"> FTP </w:t>
      </w:r>
      <w:r>
        <w:rPr>
          <w:rFonts w:hint="eastAsia"/>
        </w:rPr>
        <w:t xml:space="preserve">应用实践及对我国的启示</w:t>
      </w:r>
    </w:p>
    <w:bookmarkEnd w:id="59"/>
    <w:bookmarkEnd w:id="60"/>
    <w:bookmarkStart w:id="61" w:name="分析框架"/>
    <w:p>
      <w:pPr>
        <w:pStyle w:val="2"/>
      </w:pPr>
      <w:r>
        <w:t xml:space="preserve">2.4 </w:t>
      </w:r>
      <w:r>
        <w:rPr>
          <w:rFonts w:hint="eastAsia"/>
        </w:rPr>
        <w:t xml:space="preserve">分析框架</w:t>
      </w:r>
    </w:p>
    <w:bookmarkEnd w:id="61"/>
    <w:bookmarkStart w:id="62" w:name="本章小结-1"/>
    <w:p>
      <w:pPr>
        <w:pStyle w:val="2"/>
      </w:pPr>
      <w:r>
        <w:t xml:space="preserve">2.5 </w:t>
      </w:r>
      <w:r>
        <w:rPr>
          <w:rFonts w:hint="eastAsia"/>
        </w:rPr>
        <w:t xml:space="preserve">本章小结</w:t>
      </w:r>
    </w:p>
    <w:p>
      <w:r>
        <w:br w:type="page"/>
      </w:r>
    </w:p>
    <w:bookmarkEnd w:id="62"/>
    <w:bookmarkEnd w:id="63"/>
    <w:bookmarkStart w:id="75" w:name="ratemakt"/>
    <w:p>
      <w:pPr>
        <w:pStyle w:val="1"/>
      </w:pPr>
      <w:r>
        <w:t xml:space="preserve">3. </w:t>
      </w:r>
      <w:r>
        <w:rPr>
          <w:rFonts w:hint="eastAsia"/>
        </w:rPr>
        <w:t xml:space="preserve">我国利率市场化进程分析及测度</w:t>
      </w:r>
    </w:p>
    <w:bookmarkStart w:id="66" w:name="我国利率市场化进程"/>
    <w:p>
      <w:pPr>
        <w:pStyle w:val="2"/>
      </w:pPr>
      <w:r>
        <w:t xml:space="preserve">3.1 </w:t>
      </w:r>
      <w:r>
        <w:rPr>
          <w:rFonts w:hint="eastAsia"/>
        </w:rPr>
        <w:t xml:space="preserve">我国利率市场化进程</w:t>
      </w:r>
    </w:p>
    <w:bookmarkStart w:id="64" w:name="我国利率市场化改革进程"/>
    <w:p>
      <w:pPr>
        <w:pStyle w:val="3"/>
      </w:pPr>
      <w:r>
        <w:t xml:space="preserve">3.1.1 </w:t>
      </w:r>
      <w:r>
        <w:rPr>
          <w:rFonts w:hint="eastAsia"/>
        </w:rPr>
        <w:t xml:space="preserve">我国利率市场化改革进程</w:t>
      </w:r>
    </w:p>
    <w:bookmarkEnd w:id="64"/>
    <w:bookmarkStart w:id="65" w:name="lpr-体系对客户端贷款利率市场化改革的意义"/>
    <w:p>
      <w:pPr>
        <w:pStyle w:val="3"/>
      </w:pPr>
      <w:r>
        <w:t xml:space="preserve">3.1.2 LPR </w:t>
      </w:r>
      <w:r>
        <w:rPr>
          <w:rFonts w:hint="eastAsia"/>
        </w:rPr>
        <w:t xml:space="preserve">体系对客户端贷款利率市场化改革的意义</w:t>
      </w:r>
    </w:p>
    <w:bookmarkEnd w:id="65"/>
    <w:bookmarkEnd w:id="66"/>
    <w:bookmarkStart w:id="72" w:name="利率市场化测度"/>
    <w:p>
      <w:pPr>
        <w:pStyle w:val="2"/>
      </w:pPr>
      <w:r>
        <w:t xml:space="preserve">3.2 </w:t>
      </w:r>
      <w:r>
        <w:rPr>
          <w:rFonts w:hint="eastAsia"/>
        </w:rPr>
        <w:t xml:space="preserve">利率市场化测度</w:t>
      </w:r>
    </w:p>
    <w:bookmarkStart w:id="67" w:name="货币市场利率市场化程度分析"/>
    <w:p>
      <w:pPr>
        <w:pStyle w:val="3"/>
      </w:pPr>
      <w:r>
        <w:t xml:space="preserve">3.2.1 </w:t>
      </w:r>
      <w:r>
        <w:rPr>
          <w:rFonts w:hint="eastAsia"/>
        </w:rPr>
        <w:t xml:space="preserve">货币市场利率市场化程度分析</w:t>
      </w:r>
    </w:p>
    <w:bookmarkEnd w:id="67"/>
    <w:bookmarkStart w:id="68" w:name="债券市场利率市场化程度分析"/>
    <w:p>
      <w:pPr>
        <w:pStyle w:val="3"/>
      </w:pPr>
      <w:r>
        <w:t xml:space="preserve">3.2.2 </w:t>
      </w:r>
      <w:r>
        <w:rPr>
          <w:rFonts w:hint="eastAsia"/>
        </w:rPr>
        <w:t xml:space="preserve">债券市场利率市场化程度分析</w:t>
      </w:r>
    </w:p>
    <w:bookmarkEnd w:id="68"/>
    <w:bookmarkStart w:id="69" w:name="信贷市场利率市场化程度分析"/>
    <w:p>
      <w:pPr>
        <w:pStyle w:val="3"/>
      </w:pPr>
      <w:r>
        <w:t xml:space="preserve">3.2.3 </w:t>
      </w:r>
      <w:r>
        <w:rPr>
          <w:rFonts w:hint="eastAsia"/>
        </w:rPr>
        <w:t xml:space="preserve">信贷市场利率市场化程度分析</w:t>
      </w:r>
    </w:p>
    <w:bookmarkEnd w:id="69"/>
    <w:bookmarkStart w:id="70" w:name="整体利率市场化程度分析"/>
    <w:p>
      <w:pPr>
        <w:pStyle w:val="3"/>
      </w:pPr>
      <w:r>
        <w:t xml:space="preserve">3.2.4 </w:t>
      </w:r>
      <w:r>
        <w:rPr>
          <w:rFonts w:hint="eastAsia"/>
        </w:rPr>
        <w:t xml:space="preserve">整体利率市场化程度分析</w:t>
      </w:r>
    </w:p>
    <w:bookmarkEnd w:id="70"/>
    <w:bookmarkStart w:id="71" w:name="影响利率市场化程度可能原因分析"/>
    <w:p>
      <w:pPr>
        <w:pStyle w:val="3"/>
      </w:pPr>
      <w:r>
        <w:t xml:space="preserve">3.2.5 </w:t>
      </w:r>
      <w:r>
        <w:rPr>
          <w:rFonts w:hint="eastAsia"/>
        </w:rPr>
        <w:t xml:space="preserve">影响利率市场化程度可能原因分析</w:t>
      </w:r>
    </w:p>
    <w:bookmarkEnd w:id="71"/>
    <w:bookmarkEnd w:id="72"/>
    <w:bookmarkStart w:id="73" w:name="我国利率双轨制产生的原因带来的问题"/>
    <w:p>
      <w:pPr>
        <w:pStyle w:val="2"/>
      </w:pPr>
      <w:r>
        <w:t xml:space="preserve">3.3 </w:t>
      </w:r>
      <w:r>
        <w:rPr>
          <w:rFonts w:hint="eastAsia"/>
        </w:rPr>
        <w:t xml:space="preserve">我国利率双轨制产生的原因、带来的问题</w:t>
      </w:r>
    </w:p>
    <w:bookmarkEnd w:id="73"/>
    <w:bookmarkStart w:id="74" w:name="本章小结-2"/>
    <w:p>
      <w:pPr>
        <w:pStyle w:val="2"/>
      </w:pPr>
      <w:r>
        <w:t xml:space="preserve">3.4 </w:t>
      </w:r>
      <w:r>
        <w:rPr>
          <w:rFonts w:hint="eastAsia"/>
        </w:rPr>
        <w:t xml:space="preserve">本章小结</w:t>
      </w:r>
    </w:p>
    <w:p>
      <w:r>
        <w:br w:type="page"/>
      </w:r>
    </w:p>
    <w:bookmarkEnd w:id="74"/>
    <w:bookmarkEnd w:id="75"/>
    <w:bookmarkStart w:id="86" w:name="yield"/>
    <w:p>
      <w:pPr>
        <w:pStyle w:val="1"/>
      </w:pPr>
      <w:r>
        <w:t xml:space="preserve">4. </w:t>
      </w:r>
      <w:r>
        <w:rPr>
          <w:rFonts w:hint="eastAsia"/>
        </w:rPr>
        <w:t xml:space="preserve">科学构建</w:t>
      </w:r>
      <w:r>
        <w:t xml:space="preserve"> FTP </w:t>
      </w:r>
      <w:r>
        <w:rPr>
          <w:rFonts w:hint="eastAsia"/>
        </w:rPr>
        <w:t xml:space="preserve">收益率曲线理论分析和框架方案</w:t>
      </w:r>
    </w:p>
    <w:bookmarkStart w:id="80" w:name="科学构建-ftp-收益率曲线理论分析"/>
    <w:p>
      <w:pPr>
        <w:pStyle w:val="2"/>
      </w:pPr>
      <w:r>
        <w:t xml:space="preserve">4.1 </w:t>
      </w:r>
      <w:r>
        <w:rPr>
          <w:rFonts w:hint="eastAsia"/>
        </w:rPr>
        <w:t xml:space="preserve">科学构建</w:t>
      </w:r>
      <w:r>
        <w:t xml:space="preserve"> FTP </w:t>
      </w:r>
      <w:r>
        <w:rPr>
          <w:rFonts w:hint="eastAsia"/>
        </w:rPr>
        <w:t xml:space="preserve">收益率曲线理论分析</w:t>
      </w:r>
    </w:p>
    <w:bookmarkStart w:id="76" w:name="高度利率市场化是构建-ftp-收益率曲线的前提"/>
    <w:p>
      <w:pPr>
        <w:pStyle w:val="3"/>
      </w:pPr>
      <w:r>
        <w:t xml:space="preserve">4.1.1 </w:t>
      </w:r>
      <w:r>
        <w:rPr>
          <w:rFonts w:hint="eastAsia"/>
        </w:rPr>
        <w:t xml:space="preserve">高度利率市场化是构建</w:t>
      </w:r>
      <w:r>
        <w:t xml:space="preserve"> FTP </w:t>
      </w:r>
      <w:r>
        <w:rPr>
          <w:rFonts w:hint="eastAsia"/>
        </w:rPr>
        <w:t xml:space="preserve">收益率曲线的前提</w:t>
      </w:r>
    </w:p>
    <w:bookmarkEnd w:id="76"/>
    <w:bookmarkStart w:id="77" w:name="市场化的基准利率构建-ftp-收益率曲线的可行性分析"/>
    <w:p>
      <w:pPr>
        <w:pStyle w:val="3"/>
      </w:pPr>
      <w:r>
        <w:t xml:space="preserve">4.1.2 </w:t>
      </w:r>
      <w:r>
        <w:rPr>
          <w:rFonts w:hint="eastAsia"/>
        </w:rPr>
        <w:t xml:space="preserve">市场化的基准利率构建</w:t>
      </w:r>
      <w:r>
        <w:t xml:space="preserve"> FTP </w:t>
      </w:r>
      <w:r>
        <w:rPr>
          <w:rFonts w:hint="eastAsia"/>
        </w:rPr>
        <w:t xml:space="preserve">收益率曲线的可行性分析</w:t>
      </w:r>
    </w:p>
    <w:bookmarkEnd w:id="77"/>
    <w:bookmarkStart w:id="78" w:name="市场化的基准利率构建-ftp-收益率曲线的必要性分析"/>
    <w:p>
      <w:pPr>
        <w:pStyle w:val="3"/>
      </w:pPr>
      <w:r>
        <w:t xml:space="preserve">4.1.3 </w:t>
      </w:r>
      <w:r>
        <w:rPr>
          <w:rFonts w:hint="eastAsia"/>
        </w:rPr>
        <w:t xml:space="preserve">市场化的基准利率构建</w:t>
      </w:r>
      <w:r>
        <w:t xml:space="preserve"> FTP </w:t>
      </w:r>
      <w:r>
        <w:rPr>
          <w:rFonts w:hint="eastAsia"/>
        </w:rPr>
        <w:t xml:space="preserve">收益率曲线的必要性分析</w:t>
      </w:r>
    </w:p>
    <w:bookmarkEnd w:id="78"/>
    <w:bookmarkStart w:id="79" w:name="市场化的基准利率构建-ftp-收益率曲线的非完备性分析"/>
    <w:p>
      <w:pPr>
        <w:pStyle w:val="3"/>
      </w:pPr>
      <w:r>
        <w:t xml:space="preserve">4.1.4 </w:t>
      </w:r>
      <w:r>
        <w:rPr>
          <w:rFonts w:hint="eastAsia"/>
        </w:rPr>
        <w:t xml:space="preserve">市场化的基准利率构建</w:t>
      </w:r>
      <w:r>
        <w:t xml:space="preserve"> FTP </w:t>
      </w:r>
      <w:r>
        <w:rPr>
          <w:rFonts w:hint="eastAsia"/>
        </w:rPr>
        <w:t xml:space="preserve">收益率曲线的非完备性分析</w:t>
      </w:r>
    </w:p>
    <w:bookmarkEnd w:id="79"/>
    <w:bookmarkEnd w:id="80"/>
    <w:bookmarkStart w:id="84" w:name="构建统一的-ftp-收益率曲线框架方案"/>
    <w:p>
      <w:pPr>
        <w:pStyle w:val="2"/>
      </w:pPr>
      <w:r>
        <w:t xml:space="preserve">4.2 </w:t>
      </w:r>
      <w:r>
        <w:rPr>
          <w:rFonts w:hint="eastAsia"/>
        </w:rPr>
        <w:t xml:space="preserve">构建统一的</w:t>
      </w:r>
      <w:r>
        <w:t xml:space="preserve"> FTP </w:t>
      </w:r>
      <w:r>
        <w:rPr>
          <w:rFonts w:hint="eastAsia"/>
        </w:rPr>
        <w:t xml:space="preserve">收益率曲线框架方案</w:t>
      </w:r>
    </w:p>
    <w:bookmarkStart w:id="81" w:name="ftp-收益率曲线由母线和融资溢价两部分组成"/>
    <w:p>
      <w:pPr>
        <w:pStyle w:val="3"/>
      </w:pPr>
      <w:r>
        <w:t xml:space="preserve">4.2.1 FTP </w:t>
      </w:r>
      <w:r>
        <w:rPr>
          <w:rFonts w:hint="eastAsia"/>
        </w:rPr>
        <w:t xml:space="preserve">收益率曲线由母线和融资溢价两部分组成</w:t>
      </w:r>
    </w:p>
    <w:bookmarkEnd w:id="81"/>
    <w:bookmarkStart w:id="82" w:name="市场化的基准利率构建-ftp-收益率曲线的母线"/>
    <w:p>
      <w:pPr>
        <w:pStyle w:val="3"/>
      </w:pPr>
      <w:r>
        <w:t xml:space="preserve">4.2.2 </w:t>
      </w:r>
      <w:r>
        <w:rPr>
          <w:rFonts w:hint="eastAsia"/>
        </w:rPr>
        <w:t xml:space="preserve">市场化的基准利率构建</w:t>
      </w:r>
      <w:r>
        <w:t xml:space="preserve"> FTP </w:t>
      </w:r>
      <w:r>
        <w:rPr>
          <w:rFonts w:hint="eastAsia"/>
        </w:rPr>
        <w:t xml:space="preserve">收益率曲线的母线</w:t>
      </w:r>
    </w:p>
    <w:bookmarkEnd w:id="82"/>
    <w:bookmarkStart w:id="83" w:name="根据商业银行信用评价确定融资溢价"/>
    <w:p>
      <w:pPr>
        <w:pStyle w:val="3"/>
      </w:pPr>
      <w:r>
        <w:t xml:space="preserve">4.2.3 </w:t>
      </w:r>
      <w:r>
        <w:rPr>
          <w:rFonts w:hint="eastAsia"/>
        </w:rPr>
        <w:t xml:space="preserve">根据商业银行信用评价确定融资溢价</w:t>
      </w:r>
    </w:p>
    <w:bookmarkEnd w:id="83"/>
    <w:bookmarkEnd w:id="84"/>
    <w:bookmarkStart w:id="85" w:name="本章小结-3"/>
    <w:p>
      <w:pPr>
        <w:pStyle w:val="2"/>
      </w:pPr>
      <w:r>
        <w:t xml:space="preserve">4.3 </w:t>
      </w:r>
      <w:r>
        <w:rPr>
          <w:rFonts w:hint="eastAsia"/>
        </w:rPr>
        <w:t xml:space="preserve">本章小结</w:t>
      </w:r>
    </w:p>
    <w:p>
      <w:r>
        <w:br w:type="page"/>
      </w:r>
    </w:p>
    <w:bookmarkEnd w:id="85"/>
    <w:bookmarkEnd w:id="86"/>
    <w:bookmarkStart w:id="93" w:name="baserate"/>
    <w:p>
      <w:pPr>
        <w:pStyle w:val="1"/>
      </w:pPr>
      <w:r>
        <w:t xml:space="preserve">5. </w:t>
      </w:r>
      <w:r>
        <w:rPr>
          <w:rFonts w:hint="eastAsia"/>
        </w:rPr>
        <w:t xml:space="preserve">我国利率市场化进程中基准利率曲线的选择与确立问题</w:t>
      </w:r>
    </w:p>
    <w:bookmarkStart w:id="87" w:name="shibor同业存单等利率用作市场基准利率的背景介绍"/>
    <w:p>
      <w:pPr>
        <w:pStyle w:val="2"/>
      </w:pPr>
      <w:r>
        <w:t xml:space="preserve">5.1 </w:t>
      </w:r>
      <w:r>
        <w:rPr>
          <w:rFonts w:hint="eastAsia"/>
        </w:rPr>
        <w:t xml:space="preserve">SHIBOR、同业存单等利率用作市场基准利率的背景介绍</w:t>
      </w:r>
    </w:p>
    <w:bookmarkEnd w:id="87"/>
    <w:bookmarkStart w:id="88" w:name="shibor同业存单等利率传导机制的理论分析"/>
    <w:p>
      <w:pPr>
        <w:pStyle w:val="2"/>
      </w:pPr>
      <w:r>
        <w:t xml:space="preserve">5.2 </w:t>
      </w:r>
      <w:r>
        <w:rPr>
          <w:rFonts w:hint="eastAsia"/>
        </w:rPr>
        <w:t xml:space="preserve">SHIBOR、同业存单等利率传导机制的理论分析</w:t>
      </w:r>
    </w:p>
    <w:bookmarkEnd w:id="88"/>
    <w:bookmarkStart w:id="89" w:name="shibor同业存单等与宏观经济运行情况联动的实证分析"/>
    <w:p>
      <w:pPr>
        <w:pStyle w:val="2"/>
      </w:pPr>
      <w:r>
        <w:t xml:space="preserve">5.3 </w:t>
      </w:r>
      <w:r>
        <w:rPr>
          <w:rFonts w:hint="eastAsia"/>
        </w:rPr>
        <w:t xml:space="preserve">SHIBOR、同业存单等与宏观经济运行情况联动的实证分析</w:t>
      </w:r>
    </w:p>
    <w:bookmarkEnd w:id="89"/>
    <w:bookmarkStart w:id="90" w:name="中国金融市场利率期限结构的静态估计"/>
    <w:p>
      <w:pPr>
        <w:pStyle w:val="2"/>
      </w:pPr>
      <w:r>
        <w:t xml:space="preserve">5.4 </w:t>
      </w:r>
      <w:r>
        <w:rPr>
          <w:rFonts w:hint="eastAsia"/>
        </w:rPr>
        <w:t xml:space="preserve">中国金融市场利率期限结构的静态估计</w:t>
      </w:r>
    </w:p>
    <w:bookmarkEnd w:id="90"/>
    <w:bookmarkStart w:id="91" w:name="基于期限结构理论和收益率曲线模型对备择基准利率进行检验"/>
    <w:p>
      <w:pPr>
        <w:pStyle w:val="2"/>
      </w:pPr>
      <w:r>
        <w:t xml:space="preserve">5.5 </w:t>
      </w:r>
      <w:r>
        <w:rPr>
          <w:rFonts w:hint="eastAsia"/>
        </w:rPr>
        <w:t xml:space="preserve">基于期限结构理论和收益率曲线模型对备择基准利率进行检验</w:t>
      </w:r>
    </w:p>
    <w:bookmarkEnd w:id="91"/>
    <w:bookmarkStart w:id="92" w:name="本章小结-4"/>
    <w:p>
      <w:pPr>
        <w:pStyle w:val="2"/>
      </w:pPr>
      <w:r>
        <w:t xml:space="preserve">5.6 </w:t>
      </w:r>
      <w:r>
        <w:rPr>
          <w:rFonts w:hint="eastAsia"/>
        </w:rPr>
        <w:t xml:space="preserve">本章小结</w:t>
      </w:r>
    </w:p>
    <w:p>
      <w:r>
        <w:br w:type="page"/>
      </w:r>
    </w:p>
    <w:bookmarkEnd w:id="92"/>
    <w:bookmarkEnd w:id="93"/>
    <w:bookmarkStart w:id="94" w:name="empirical"/>
    <w:p>
      <w:pPr>
        <w:pStyle w:val="1"/>
      </w:pPr>
      <w:r>
        <w:t xml:space="preserve">6. </w:t>
      </w:r>
      <w:r>
        <w:rPr>
          <w:rFonts w:hint="eastAsia"/>
        </w:rPr>
        <w:t xml:space="preserve">我国商业银行监管评价和融资溢价关系实证研究</w:t>
      </w:r>
    </w:p>
    <w:p>
      <w:r>
        <w:br w:type="page"/>
      </w:r>
    </w:p>
    <w:bookmarkEnd w:id="94"/>
    <w:bookmarkStart w:id="98" w:name="conclusion"/>
    <w:p>
      <w:pPr>
        <w:pStyle w:val="1"/>
      </w:pPr>
      <w:r>
        <w:t xml:space="preserve">7. </w:t>
      </w:r>
      <w:r>
        <w:rPr>
          <w:rFonts w:hint="eastAsia"/>
        </w:rPr>
        <w:t xml:space="preserve">研究结论与展望</w:t>
      </w:r>
    </w:p>
    <w:bookmarkStart w:id="95" w:name="研究结论"/>
    <w:p>
      <w:pPr>
        <w:pStyle w:val="2"/>
      </w:pPr>
      <w:r>
        <w:t xml:space="preserve">7.1 </w:t>
      </w:r>
      <w:r>
        <w:rPr>
          <w:rFonts w:hint="eastAsia"/>
        </w:rPr>
        <w:t xml:space="preserve">研究结论</w:t>
      </w:r>
    </w:p>
    <w:bookmarkEnd w:id="95"/>
    <w:bookmarkStart w:id="96" w:name="完善市场化基准利率推动优化商业银行-ftp-定价机制政策建议"/>
    <w:p>
      <w:pPr>
        <w:pStyle w:val="2"/>
      </w:pPr>
      <w:r>
        <w:t xml:space="preserve">7.2 </w:t>
      </w:r>
      <w:r>
        <w:rPr>
          <w:rFonts w:hint="eastAsia"/>
        </w:rPr>
        <w:t xml:space="preserve">完善市场化基准利率，推动优化商业银行</w:t>
      </w:r>
      <w:r>
        <w:t xml:space="preserve"> FTP </w:t>
      </w:r>
      <w:r>
        <w:rPr>
          <w:rFonts w:hint="eastAsia"/>
        </w:rPr>
        <w:t xml:space="preserve">定价机制政策建议</w:t>
      </w:r>
    </w:p>
    <w:bookmarkEnd w:id="96"/>
    <w:bookmarkStart w:id="97" w:name="研究展望"/>
    <w:p>
      <w:pPr>
        <w:pStyle w:val="2"/>
      </w:pPr>
      <w:r>
        <w:t xml:space="preserve">7.3 </w:t>
      </w:r>
      <w:r>
        <w:rPr>
          <w:rFonts w:hint="eastAsia"/>
        </w:rPr>
        <w:t xml:space="preserve">研究展望</w:t>
      </w:r>
    </w:p>
    <w:p>
      <w:r>
        <w:br w:type="page"/>
      </w:r>
    </w:p>
    <w:bookmarkEnd w:id="97"/>
    <w:bookmarkEnd w:id="98"/>
    <w:bookmarkStart w:id="101" w:name="参考文献"/>
    <w:p>
      <w:pPr>
        <w:pStyle w:val="1"/>
      </w:pPr>
      <w:r>
        <w:rPr>
          <w:rFonts w:hint="eastAsia"/>
        </w:rPr>
        <w:t xml:space="preserve">参考文献</w:t>
      </w:r>
    </w:p>
    <w:bookmarkStart w:id="100" w:name="refs"/>
    <w:bookmarkStart w:id="99" w:name="ref-lindblom2017funds"/>
    <w:p>
      <w:pPr>
        <w:pStyle w:val="Bibliography"/>
      </w:pPr>
      <w:r>
        <w:t xml:space="preserve">[1]</w:t>
      </w:r>
      <w:r>
        <w:t xml:space="preserve"> </w:t>
      </w:r>
      <w:r>
        <w:t xml:space="preserve">	</w:t>
      </w:r>
      <w:r>
        <w:t xml:space="preserve">Lindblom T, Elliot V. Funds transfer pricing, liquidity premium and market structure[J]. Liquidity Premium and Market Structure (July 3, 2017), 2017.</w:t>
      </w:r>
    </w:p>
    <w:bookmarkEnd w:id="99"/>
    <w:bookmarkEnd w:id="100"/>
    <w:p>
      <w:r>
        <w:br w:type="page"/>
      </w:r>
    </w:p>
    <w:bookmarkEnd w:id="101"/>
    <w:bookmarkStart w:id="104" w:name="appendix"/>
    <w:p>
      <w:pPr>
        <w:pStyle w:val="1"/>
      </w:pPr>
      <w:r>
        <w:rPr>
          <w:rFonts w:hint="eastAsia"/>
        </w:rPr>
        <w:t xml:space="preserve">附录</w:t>
      </w:r>
    </w:p>
    <w:bookmarkStart w:id="102" w:name="appendixA"/>
    <w:p>
      <w:pPr>
        <w:pStyle w:val="2"/>
      </w:pPr>
      <w:r>
        <w:rPr>
          <w:rFonts w:hint="eastAsia"/>
        </w:rPr>
        <w:t xml:space="preserve">附录A：余音绕梁</w:t>
      </w:r>
    </w:p>
    <w:p>
      <w:pPr>
        <w:pStyle w:val="FirstParagraph"/>
      </w:pPr>
      <w:r>
        <w:rPr>
          <w:rFonts w:hint="eastAsia"/>
        </w:rPr>
        <w:t xml:space="preserve">呐，到这里朕的书差不多写完了，但还有几句话要交待，所以开个附录，再啰嗦几句，各位客官稍安勿躁、扶稳坐好。</w:t>
      </w:r>
    </w:p>
    <w:bookmarkEnd w:id="102"/>
    <w:bookmarkStart w:id="103" w:name="appendixB"/>
    <w:p>
      <w:pPr>
        <w:pStyle w:val="2"/>
      </w:pPr>
      <w:r>
        <w:rPr>
          <w:rFonts w:hint="eastAsia"/>
        </w:rPr>
        <w:t xml:space="preserve">附录B：美不胜收</w:t>
      </w:r>
    </w:p>
    <w:p>
      <w:pPr>
        <w:pStyle w:val="FirstParagraph"/>
      </w:pPr>
      <w:r>
        <w:rPr>
          <w:rFonts w:hint="eastAsia"/>
        </w:rPr>
        <w:t xml:space="preserve">哎，荒废了三年，大美新疆，我错过了所有的景点，怎么补？</w:t>
      </w:r>
    </w:p>
    <w:p>
      <w:r>
        <w:br w:type="page"/>
      </w:r>
    </w:p>
    <w:bookmarkEnd w:id="103"/>
    <w:bookmarkEnd w:id="104"/>
    <w:bookmarkStart w:id="107" w:name="acknowledgements"/>
    <w:p>
      <w:pPr>
        <w:pStyle w:val="1"/>
      </w:pPr>
      <w:r>
        <w:rPr>
          <w:rFonts w:hint="eastAsia"/>
        </w:rPr>
        <w:t xml:space="preserve">致谢</w:t>
      </w:r>
    </w:p>
    <w:p>
      <w:pPr>
        <w:pStyle w:val="FirstParagraph"/>
      </w:pPr>
      <w:r>
        <w:rPr>
          <w:rFonts w:hint="eastAsia"/>
        </w:rPr>
        <w:t xml:space="preserve">非常感谢恩师卢爱珍老师从选题、论文框架等方面给与的悉心指导和生活方面的帮助。</w:t>
      </w:r>
    </w:p>
    <w:p>
      <w:pPr>
        <w:pStyle w:val="a0"/>
      </w:pPr>
      <w:r>
        <w:rPr>
          <w:rFonts w:hint="eastAsia"/>
        </w:rPr>
        <w:t xml:space="preserve">非常感谢所有专家教授给与的有价值的意见和建议，让我少走了很多弯路。</w:t>
      </w:r>
    </w:p>
    <w:p>
      <w:pPr>
        <w:pStyle w:val="a0"/>
      </w:pPr>
      <w:r>
        <w:rPr>
          <w:rFonts w:hint="eastAsia"/>
        </w:rPr>
        <w:t xml:space="preserve">非常感谢同学们的相互帮助和鼓励，尤其是杨楠楠同学和克甝同学的关心、支持与帮助，彼此间的友情永远值得怀念，感谢读博期间遇到这样的同学，给我留下了许多美好的回忆。</w:t>
      </w:r>
    </w:p>
    <w:p>
      <w:pPr>
        <w:pStyle w:val="a0"/>
      </w:pPr>
      <w:r>
        <w:rPr>
          <w:rFonts w:hint="eastAsia"/>
        </w:rPr>
        <w:t xml:space="preserve">非常感谢那些在我穷困潦倒的时候，接济我的硕士研究生同学和前单位同事，感谢他们仗义出手，患难见真情，他们是我一辈子都值得珍惜的朋友。</w:t>
      </w:r>
    </w:p>
    <w:p>
      <w:pPr>
        <w:pStyle w:val="a0"/>
      </w:pPr>
      <w:r>
        <w:rPr>
          <w:rFonts w:hint="eastAsia"/>
        </w:rPr>
        <w:t xml:space="preserve">非常感谢统计之都论坛</w:t>
      </w:r>
      <w:r>
        <w:rPr>
          <w:rStyle w:val="af2"/>
        </w:rPr>
        <w:footnoteReference w:id="105"/>
      </w:r>
      <w:r>
        <w:rPr>
          <w:rFonts w:hint="eastAsia"/>
        </w:rPr>
        <w:t xml:space="preserve">上的各位R语言专家，很多R编程方面的问题遇到困难都是在他们热情、无私的帮忙下解决的，让我快速解决问题的同时，R语言编程技能有了很大提高。</w:t>
      </w:r>
    </w:p>
    <w:p>
      <w:pPr>
        <w:pStyle w:val="a0"/>
      </w:pPr>
      <w:r>
        <w:rPr>
          <w:rFonts w:hint="eastAsia"/>
        </w:rPr>
        <w:t xml:space="preserve">非常感谢R和RStudio的软件开发人员，以及那些开发开源、免费R语言扩展包的R包开发人员，给我的科研工作带来了很多便利，让我可以沉浸在科研和数据科学的世界里。</w:t>
      </w:r>
    </w:p>
    <w:p>
      <w:r>
        <w:br w:type="page"/>
      </w:r>
    </w:p>
    <w:bookmarkEnd w:id="107"/>
    <w:bookmarkStart w:id="110" w:name="author"/>
    <w:p>
      <w:pPr>
        <w:pStyle w:val="1"/>
      </w:pPr>
      <w:r>
        <w:rPr>
          <w:rFonts w:hint="eastAsia"/>
        </w:rPr>
        <w:t xml:space="preserve">作者简历</w:t>
      </w:r>
    </w:p>
    <w:bookmarkStart w:id="108" w:name="发表的论文"/>
    <w:p>
      <w:pPr>
        <w:pStyle w:val="2"/>
      </w:pPr>
      <w:r>
        <w:rPr>
          <w:rFonts w:hint="eastAsia"/>
        </w:rPr>
        <w:t xml:space="preserve">发表的论文</w:t>
      </w:r>
    </w:p>
    <w:bookmarkEnd w:id="108"/>
    <w:bookmarkStart w:id="109" w:name="主持和参与课题"/>
    <w:p>
      <w:pPr>
        <w:pStyle w:val="2"/>
      </w:pPr>
      <w:r>
        <w:rPr>
          <w:rFonts w:hint="eastAsia"/>
        </w:rPr>
        <w:t xml:space="preserve">主持和参与课题</w:t>
      </w:r>
    </w:p>
    <w:p>
      <w:r>
        <w:br w:type="page"/>
      </w:r>
    </w:p>
    <w:bookmarkEnd w:id="109"/>
    <w:bookmarkEnd w:id="110"/>
    <w:sectPr w:rsidR="004C0445" w:rsidSect="00E62D3C">
      <w:footerReference r:id="rId9" w:type="even"/>
      <w:footerReference r:id="rId10" w:type="default"/>
      <w:type w:val="continuous"/>
      <w:pgSz w:code="9" w:h="16840" w:w="11907"/>
      <w:pgMar w:bottom="1985" w:footer="720" w:gutter="0" w:header="720" w:left="1531" w:right="1531" w:top="2098"/>
      <w:cols w:space="720"/>
      <w:docGrid w:linePitch="326" w:type="lines"/>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mbria">
    <w:altName w:val="Crimson"/>
    <w:panose1 w:val="02040503050406030204"/>
    <w:charset w:val="00"/>
    <w:family w:val="roman"/>
    <w:pitch w:val="variable"/>
    <w:sig w:usb0="E00006FF" w:usb1="420024FF" w:usb2="02000000" w:usb3="00000000" w:csb0="0000019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楷体">
    <w:panose1 w:val="02010609060101010101"/>
    <w:charset w:val="86"/>
    <w:family w:val="modern"/>
    <w:pitch w:val="fixed"/>
    <w:sig w:usb0="800002BF" w:usb1="38CF7CFA" w:usb2="00000016" w:usb3="00000000" w:csb0="00040001"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af0"/>
      </w:rPr>
      <w:id w:val="1342282442"/>
    </w:sdtPr>
    <w:sdtContent>
      <w:p w14:paraId="07BB8017" w14:textId="77777777" w:rsidR="006C7089" w:rsidRDefault="00000000">
        <w:pPr>
          <w:pStyle w:val="a9"/>
          <w:framePr w:wrap="auto" w:vAnchor="text" w:hAnchor="margin" w:xAlign="center" w:y="1"/>
          <w:rPr>
            <w:rStyle w:val="af0"/>
          </w:rPr>
        </w:pPr>
        <w:r>
          <w:rPr>
            <w:rStyle w:val="af0"/>
          </w:rPr>
          <w:fldChar w:fldCharType="begin"/>
        </w:r>
        <w:r>
          <w:rPr>
            <w:rStyle w:val="af0"/>
          </w:rPr>
          <w:instrText xml:space="preserve"> PAGE </w:instrText>
        </w:r>
        <w:r>
          <w:rPr>
            <w:rStyle w:val="af0"/>
          </w:rPr>
          <w:fldChar w:fldCharType="end"/>
        </w:r>
      </w:p>
    </w:sdtContent>
  </w:sdt>
  <w:p w14:paraId="3F2D9F9D" w14:textId="77777777" w:rsidR="006C7089" w:rsidRDefault="006C7089">
    <w:pPr>
      <w:pStyle w:val="a9"/>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af0"/>
      </w:rPr>
      <w:id w:val="928616856"/>
    </w:sdtPr>
    <w:sdtContent>
      <w:p w14:paraId="4630AD30" w14:textId="77777777" w:rsidR="006C7089" w:rsidRDefault="00000000">
        <w:pPr>
          <w:pStyle w:val="a9"/>
          <w:framePr w:wrap="auto" w:vAnchor="text" w:hAnchor="margin" w:xAlign="center" w:y="1"/>
          <w:rPr>
            <w:rStyle w:val="af0"/>
          </w:rPr>
        </w:pPr>
        <w:r>
          <w:rPr>
            <w:rStyle w:val="af0"/>
          </w:rPr>
          <w:fldChar w:fldCharType="begin"/>
        </w:r>
        <w:r>
          <w:rPr>
            <w:rStyle w:val="af0"/>
          </w:rPr>
          <w:instrText xml:space="preserve"> PAGE </w:instrText>
        </w:r>
        <w:r>
          <w:rPr>
            <w:rStyle w:val="af0"/>
          </w:rPr>
          <w:fldChar w:fldCharType="separate"/>
        </w:r>
        <w:r>
          <w:rPr>
            <w:rStyle w:val="af0"/>
          </w:rPr>
          <w:t>2</w:t>
        </w:r>
        <w:r>
          <w:rPr>
            <w:rStyle w:val="af0"/>
          </w:rPr>
          <w:fldChar w:fldCharType="end"/>
        </w:r>
      </w:p>
    </w:sdtContent>
  </w:sdt>
  <w:p w14:paraId="5470DFEE" w14:textId="77777777" w:rsidR="006C7089" w:rsidRDefault="006C7089">
    <w:pPr>
      <w:pStyle w:val="a9"/>
      <w:ind w:right="360" w:firstLine="360"/>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 w:id="22">
    <w:p>
      <w:pPr>
        <w:pStyle w:val="af"/>
      </w:pPr>
      <w:r>
        <w:rPr>
          <w:rStyle w:val="af2"/>
        </w:rPr>
        <w:footnoteRef/>
      </w:r>
      <w:r>
        <w:t xml:space="preserve"> </w:t>
      </w:r>
      <w:r>
        <w:t xml:space="preserve">Lindblom T, Elliot V. Funds transfer pricing, liquidity premium and market structure[J]. Liquidity Premium and Market Structure (July 3, 2017), 2017.</w:t>
      </w:r>
    </w:p>
  </w:footnote>
  <w:footnote w:id="23">
    <w:p>
      <w:pPr>
        <w:pStyle w:val="af"/>
      </w:pPr>
      <w:r>
        <w:rPr>
          <w:rStyle w:val="af2"/>
        </w:rPr>
        <w:footnoteRef/>
      </w:r>
      <w:r>
        <w:t xml:space="preserve"> </w:t>
      </w:r>
      <w:r>
        <w:rPr>
          <w:rFonts w:hint="eastAsia"/>
        </w:rPr>
        <w:t xml:space="preserve">例如，SHIBOR</w:t>
      </w:r>
      <w:r>
        <w:t xml:space="preserve"> </w:t>
      </w:r>
      <w:r>
        <w:rPr>
          <w:rFonts w:hint="eastAsia"/>
        </w:rPr>
        <w:t xml:space="preserve">和同业存单均有一个月、三个月、六个月、九个月和一年的利率报价。</w:t>
      </w:r>
    </w:p>
  </w:footnote>
  <w:footnote w:id="24">
    <w:p>
      <w:pPr>
        <w:pStyle w:val="af"/>
      </w:pPr>
      <w:r>
        <w:rPr>
          <w:rStyle w:val="af2"/>
        </w:rPr>
        <w:footnoteRef/>
      </w:r>
      <w:r>
        <w:t xml:space="preserve"> </w:t>
      </w:r>
      <w:r>
        <w:rPr>
          <w:rFonts w:hint="eastAsia"/>
        </w:rPr>
        <w:t xml:space="preserve">存款部门希望这个</w:t>
      </w:r>
      <w:r>
        <w:t xml:space="preserve"> FTP </w:t>
      </w:r>
      <w:r>
        <w:rPr>
          <w:rFonts w:hint="eastAsia"/>
        </w:rPr>
        <w:t xml:space="preserve">价格高一点，这样吸收存款的利差会变大，但是贷款部门希望这个价格定的低一点，这样这笔贷款的利差才会更大。</w:t>
      </w:r>
    </w:p>
  </w:footnote>
  <w:footnote w:id="49">
    <w:p>
      <w:pPr>
        <w:pStyle w:val="af"/>
      </w:pPr>
      <w:r>
        <w:rPr>
          <w:rStyle w:val="af2"/>
        </w:rPr>
        <w:footnoteRef/>
      </w:r>
      <w:r>
        <w:t xml:space="preserve"> </w:t>
      </w:r>
      <w:r>
        <w:rPr>
          <w:rFonts w:hint="eastAsia"/>
        </w:rPr>
        <w:t xml:space="preserve">此定义出自中国人民银行市场利率定价自律机制</w:t>
      </w:r>
      <w:r>
        <w:t xml:space="preserve"> 2020 </w:t>
      </w:r>
      <w:r>
        <w:rPr>
          <w:rFonts w:hint="eastAsia"/>
        </w:rPr>
        <w:t xml:space="preserve">年印发的文件《关于将贷款市场报价利率纳入金融机构内部资金转移定价体系的实施指引》（市率发〔2020〕2号）。</w:t>
      </w:r>
    </w:p>
  </w:footnote>
  <w:footnote w:id="50">
    <w:p>
      <w:pPr>
        <w:pStyle w:val="af"/>
      </w:pPr>
      <w:r>
        <w:rPr>
          <w:rStyle w:val="af2"/>
        </w:rPr>
        <w:footnoteRef/>
      </w:r>
      <w:r>
        <w:t xml:space="preserve"> </w:t>
      </w:r>
      <w:r>
        <w:rPr>
          <w:rFonts w:hint="eastAsia"/>
        </w:rPr>
        <w:t xml:space="preserve">参考自曹国强.商业银行资金转移定价事务[M].中信出版社.2012</w:t>
      </w:r>
    </w:p>
  </w:footnote>
  <w:footnote w:id="105">
    <w:p>
      <w:pPr>
        <w:pStyle w:val="af"/>
      </w:pPr>
      <w:r>
        <w:rPr>
          <w:rStyle w:val="af2"/>
        </w:rPr>
        <w:footnoteRef/>
      </w:r>
      <w:r>
        <w:t xml:space="preserve"> </w:t>
      </w:r>
      <w:hyperlink r:id="rId106">
        <w:r>
          <w:rPr>
            <w:rStyle w:val="af1"/>
          </w:rPr>
          <w:t xml:space="preserve">https://d.cosx.org/</w:t>
        </w:r>
      </w:hyperlink>
    </w:p>
  </w:footnote>
</w:footnotes>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du wp14">
  <w:abstractNum w15:restartNumberingAfterBreak="0" w:abstractNumId="0">
    <w:nsid w:val="30FD2186"/>
    <w:multiLevelType w:val="multilevel"/>
    <w:tmpl w:val="0D6AEFE2"/>
    <w:lvl w:ilvl="0">
      <w:start w:val="1"/>
      <w:numFmt w:val="decimal"/>
      <w:suff w:val="space"/>
      <w:lvlText w:val="%1.1"/>
      <w:lvlJc w:val="left"/>
      <w:pPr>
        <w:ind w:firstLine="0" w:left="0"/>
      </w:pPr>
      <w:rPr>
        <w:rFonts w:hint="eastAsia"/>
      </w:rPr>
    </w:lvl>
    <w:lvl w:ilvl="1">
      <w:start w:val="1"/>
      <w:numFmt w:val="lowerLetter"/>
      <w:lvlText w:val="%2)"/>
      <w:lvlJc w:val="left"/>
      <w:pPr>
        <w:ind w:hanging="420" w:left="840"/>
      </w:pPr>
      <w:rPr>
        <w:rFonts w:hint="eastAsia"/>
      </w:rPr>
    </w:lvl>
    <w:lvl w:ilvl="2">
      <w:start w:val="1"/>
      <w:numFmt w:val="lowerRoman"/>
      <w:lvlText w:val="%3."/>
      <w:lvlJc w:val="right"/>
      <w:pPr>
        <w:ind w:hanging="420" w:left="1260"/>
      </w:pPr>
      <w:rPr>
        <w:rFonts w:hint="eastAsia"/>
      </w:rPr>
    </w:lvl>
    <w:lvl w:ilvl="3">
      <w:start w:val="1"/>
      <w:numFmt w:val="decimal"/>
      <w:lvlText w:val="%4."/>
      <w:lvlJc w:val="left"/>
      <w:pPr>
        <w:ind w:hanging="420" w:left="1680"/>
      </w:pPr>
      <w:rPr>
        <w:rFonts w:hint="eastAsia"/>
      </w:rPr>
    </w:lvl>
    <w:lvl w:ilvl="4">
      <w:start w:val="1"/>
      <w:numFmt w:val="lowerLetter"/>
      <w:lvlText w:val="%5)"/>
      <w:lvlJc w:val="left"/>
      <w:pPr>
        <w:ind w:hanging="420" w:left="2100"/>
      </w:pPr>
      <w:rPr>
        <w:rFonts w:hint="eastAsia"/>
      </w:rPr>
    </w:lvl>
    <w:lvl w:ilvl="5">
      <w:start w:val="1"/>
      <w:numFmt w:val="lowerRoman"/>
      <w:lvlText w:val="%6."/>
      <w:lvlJc w:val="right"/>
      <w:pPr>
        <w:ind w:hanging="420" w:left="2520"/>
      </w:pPr>
      <w:rPr>
        <w:rFonts w:hint="eastAsia"/>
      </w:rPr>
    </w:lvl>
    <w:lvl w:ilvl="6">
      <w:start w:val="1"/>
      <w:numFmt w:val="decimal"/>
      <w:lvlText w:val="%7."/>
      <w:lvlJc w:val="left"/>
      <w:pPr>
        <w:ind w:hanging="420" w:left="2940"/>
      </w:pPr>
      <w:rPr>
        <w:rFonts w:hint="eastAsia"/>
      </w:rPr>
    </w:lvl>
    <w:lvl w:ilvl="7">
      <w:start w:val="1"/>
      <w:numFmt w:val="lowerLetter"/>
      <w:lvlText w:val="%8)"/>
      <w:lvlJc w:val="left"/>
      <w:pPr>
        <w:ind w:hanging="420" w:left="3360"/>
      </w:pPr>
      <w:rPr>
        <w:rFonts w:hint="eastAsia"/>
      </w:rPr>
    </w:lvl>
    <w:lvl w:ilvl="8">
      <w:start w:val="1"/>
      <w:numFmt w:val="lowerRoman"/>
      <w:lvlText w:val="%9."/>
      <w:lvlJc w:val="right"/>
      <w:pPr>
        <w:ind w:hanging="420" w:left="3780"/>
      </w:pPr>
      <w:rPr>
        <w:rFonts w:hint="eastAsia"/>
      </w:rPr>
    </w:lvl>
  </w:abstractNum>
  <w:abstractNum w15:restartNumberingAfterBreak="0" w:abstractNumId="1">
    <w:nsid w:val="54DA7D64"/>
    <w:multiLevelType w:val="multilevel"/>
    <w:tmpl w:val="B30AFF84"/>
    <w:lvl w:ilvl="0">
      <w:start w:val="1"/>
      <w:numFmt w:val="decimal"/>
      <w:suff w:val="nothing"/>
      <w:lvlText w:val="%1."/>
      <w:lvlJc w:val="left"/>
      <w:pPr>
        <w:ind w:firstLine="0" w:left="0"/>
      </w:pPr>
      <w:rPr>
        <w:rFonts w:hint="eastAsia"/>
      </w:rPr>
    </w:lvl>
    <w:lvl w:ilvl="1">
      <w:start w:val="1"/>
      <w:numFmt w:val="decimal"/>
      <w:lvlText w:val="%1.%2."/>
      <w:lvlJc w:val="left"/>
      <w:pPr>
        <w:ind w:firstLine="0" w:left="0"/>
      </w:pPr>
      <w:rPr>
        <w:rFonts w:hint="eastAsia"/>
      </w:rPr>
    </w:lvl>
    <w:lvl w:ilvl="2">
      <w:start w:val="1"/>
      <w:numFmt w:val="decimal"/>
      <w:suff w:val="nothing"/>
      <w:lvlText w:val="%1.%2.%3."/>
      <w:lvlJc w:val="left"/>
      <w:pPr>
        <w:ind w:firstLine="0" w:left="0"/>
      </w:pPr>
      <w:rPr>
        <w:rFonts w:hint="eastAsia"/>
      </w:rPr>
    </w:lvl>
    <w:lvl w:ilvl="3">
      <w:start w:val="1"/>
      <w:numFmt w:val="decimal"/>
      <w:suff w:val="nothing"/>
      <w:lvlText w:val="%1.%2.%3.%4."/>
      <w:lvlJc w:val="left"/>
      <w:pPr>
        <w:ind w:firstLine="0" w:left="0"/>
      </w:pPr>
      <w:rPr>
        <w:rFonts w:hint="eastAsia"/>
      </w:rPr>
    </w:lvl>
    <w:lvl w:ilvl="4">
      <w:start w:val="1"/>
      <w:numFmt w:val="none"/>
      <w:suff w:val="space"/>
      <w:lvlText w:val="(1)"/>
      <w:lvlJc w:val="left"/>
      <w:pPr>
        <w:ind w:firstLine="0" w:left="0"/>
      </w:pPr>
      <w:rPr>
        <w:rFonts w:hint="eastAsia"/>
      </w:rPr>
    </w:lvl>
    <w:lvl w:ilvl="5">
      <w:start w:val="1"/>
      <w:numFmt w:val="none"/>
      <w:suff w:val="space"/>
      <w:lvlText w:val="①"/>
      <w:lvlJc w:val="left"/>
      <w:pPr>
        <w:ind w:firstLine="0" w:left="0"/>
      </w:pPr>
      <w:rPr>
        <w:rFonts w:hint="eastAsia"/>
      </w:rPr>
    </w:lvl>
    <w:lvl w:ilvl="6">
      <w:start w:val="1"/>
      <w:numFmt w:val="decimal"/>
      <w:lvlText w:val="%1.%2.%3.%4.%5.%6.%7."/>
      <w:lvlJc w:val="left"/>
      <w:pPr>
        <w:ind w:firstLine="0" w:left="0"/>
      </w:pPr>
      <w:rPr>
        <w:rFonts w:hint="eastAsia"/>
      </w:rPr>
    </w:lvl>
    <w:lvl w:ilvl="7">
      <w:start w:val="1"/>
      <w:numFmt w:val="decimal"/>
      <w:lvlText w:val="%1.%2.%3.%4.%5.%6.%7.%8."/>
      <w:lvlJc w:val="left"/>
      <w:pPr>
        <w:ind w:firstLine="0" w:left="0"/>
      </w:pPr>
      <w:rPr>
        <w:rFonts w:hint="eastAsia"/>
      </w:rPr>
    </w:lvl>
    <w:lvl w:ilvl="8">
      <w:start w:val="1"/>
      <w:numFmt w:val="decimal"/>
      <w:lvlText w:val="%1.%2.%3.%4.%5.%6.%7.%8.%9."/>
      <w:lvlJc w:val="left"/>
      <w:pPr>
        <w:ind w:firstLine="0" w:left="0"/>
      </w:pPr>
      <w:rPr>
        <w:rFonts w:hint="eastAsia"/>
      </w:rPr>
    </w:lvl>
  </w:abstractNum>
  <w:abstractNum w15:restartNumberingAfterBreak="0" w:abstractNumId="2">
    <w:nsid w:val="57202597"/>
    <w:multiLevelType w:val="multilevel"/>
    <w:tmpl w:val="5A2E301E"/>
    <w:lvl w:ilvl="0">
      <w:start w:val="1"/>
      <w:numFmt w:val="none"/>
      <w:suff w:val="space"/>
      <w:lvlText w:val="1.1.1"/>
      <w:lvlJc w:val="left"/>
      <w:pPr>
        <w:ind w:firstLine="0" w:left="0"/>
      </w:pPr>
      <w:rPr>
        <w:rFonts w:hint="eastAsia"/>
      </w:rPr>
    </w:lvl>
    <w:lvl w:ilvl="1">
      <w:start w:val="1"/>
      <w:numFmt w:val="lowerLetter"/>
      <w:lvlText w:val="%2)"/>
      <w:lvlJc w:val="left"/>
      <w:pPr>
        <w:ind w:hanging="420" w:left="1560"/>
      </w:pPr>
      <w:rPr>
        <w:rFonts w:hint="eastAsia"/>
      </w:rPr>
    </w:lvl>
    <w:lvl w:ilvl="2">
      <w:start w:val="1"/>
      <w:numFmt w:val="lowerRoman"/>
      <w:lvlText w:val="%3."/>
      <w:lvlJc w:val="right"/>
      <w:pPr>
        <w:ind w:hanging="420" w:left="1980"/>
      </w:pPr>
      <w:rPr>
        <w:rFonts w:hint="eastAsia"/>
      </w:rPr>
    </w:lvl>
    <w:lvl w:ilvl="3">
      <w:start w:val="1"/>
      <w:numFmt w:val="decimal"/>
      <w:lvlText w:val="%4."/>
      <w:lvlJc w:val="left"/>
      <w:pPr>
        <w:ind w:hanging="420" w:left="2400"/>
      </w:pPr>
      <w:rPr>
        <w:rFonts w:hint="eastAsia"/>
      </w:rPr>
    </w:lvl>
    <w:lvl w:ilvl="4">
      <w:start w:val="1"/>
      <w:numFmt w:val="lowerLetter"/>
      <w:lvlText w:val="%5)"/>
      <w:lvlJc w:val="left"/>
      <w:pPr>
        <w:ind w:hanging="420" w:left="2820"/>
      </w:pPr>
      <w:rPr>
        <w:rFonts w:hint="eastAsia"/>
      </w:rPr>
    </w:lvl>
    <w:lvl w:ilvl="5">
      <w:start w:val="1"/>
      <w:numFmt w:val="lowerRoman"/>
      <w:lvlText w:val="%6."/>
      <w:lvlJc w:val="right"/>
      <w:pPr>
        <w:ind w:hanging="420" w:left="3240"/>
      </w:pPr>
      <w:rPr>
        <w:rFonts w:hint="eastAsia"/>
      </w:rPr>
    </w:lvl>
    <w:lvl w:ilvl="6">
      <w:start w:val="1"/>
      <w:numFmt w:val="decimal"/>
      <w:lvlText w:val="%7."/>
      <w:lvlJc w:val="left"/>
      <w:pPr>
        <w:ind w:hanging="420" w:left="3660"/>
      </w:pPr>
      <w:rPr>
        <w:rFonts w:hint="eastAsia"/>
      </w:rPr>
    </w:lvl>
    <w:lvl w:ilvl="7">
      <w:start w:val="1"/>
      <w:numFmt w:val="lowerLetter"/>
      <w:lvlText w:val="%8)"/>
      <w:lvlJc w:val="left"/>
      <w:pPr>
        <w:ind w:hanging="420" w:left="4080"/>
      </w:pPr>
      <w:rPr>
        <w:rFonts w:hint="eastAsia"/>
      </w:rPr>
    </w:lvl>
    <w:lvl w:ilvl="8">
      <w:start w:val="1"/>
      <w:numFmt w:val="lowerRoman"/>
      <w:lvlText w:val="%9."/>
      <w:lvlJc w:val="right"/>
      <w:pPr>
        <w:ind w:hanging="420" w:left="4500"/>
      </w:pPr>
      <w:rPr>
        <w:rFonts w:hint="eastAsia"/>
      </w:rPr>
    </w:lvl>
  </w:abstractNum>
  <w:abstractNum w15:restartNumberingAfterBreak="0" w:abstractNumId="3">
    <w:nsid w:val="6AB20DBA"/>
    <w:multiLevelType w:val="multilevel"/>
    <w:tmpl w:val="74205BEA"/>
    <w:lvl w:ilvl="0">
      <w:start w:val="1"/>
      <w:numFmt w:val="decimal"/>
      <w:suff w:val="space"/>
      <w:lvlText w:val="%1.1.1.1"/>
      <w:lvlJc w:val="left"/>
      <w:pPr>
        <w:ind w:firstLine="0" w:left="0"/>
      </w:pPr>
      <w:rPr>
        <w:rFonts w:hint="eastAsia"/>
      </w:rPr>
    </w:lvl>
    <w:lvl w:ilvl="1">
      <w:start w:val="1"/>
      <w:numFmt w:val="lowerLetter"/>
      <w:lvlText w:val="%2)"/>
      <w:lvlJc w:val="left"/>
      <w:pPr>
        <w:ind w:hanging="420" w:left="840"/>
      </w:pPr>
      <w:rPr>
        <w:rFonts w:hint="eastAsia"/>
      </w:rPr>
    </w:lvl>
    <w:lvl w:ilvl="2">
      <w:start w:val="1"/>
      <w:numFmt w:val="lowerRoman"/>
      <w:lvlText w:val="%3."/>
      <w:lvlJc w:val="right"/>
      <w:pPr>
        <w:ind w:hanging="420" w:left="1260"/>
      </w:pPr>
      <w:rPr>
        <w:rFonts w:hint="eastAsia"/>
      </w:rPr>
    </w:lvl>
    <w:lvl w:ilvl="3">
      <w:start w:val="1"/>
      <w:numFmt w:val="decimal"/>
      <w:lvlText w:val="%4."/>
      <w:lvlJc w:val="left"/>
      <w:pPr>
        <w:ind w:hanging="420" w:left="1680"/>
      </w:pPr>
      <w:rPr>
        <w:rFonts w:hint="eastAsia"/>
      </w:rPr>
    </w:lvl>
    <w:lvl w:ilvl="4">
      <w:start w:val="1"/>
      <w:numFmt w:val="lowerLetter"/>
      <w:lvlText w:val="%5)"/>
      <w:lvlJc w:val="left"/>
      <w:pPr>
        <w:ind w:hanging="420" w:left="2100"/>
      </w:pPr>
      <w:rPr>
        <w:rFonts w:hint="eastAsia"/>
      </w:rPr>
    </w:lvl>
    <w:lvl w:ilvl="5">
      <w:start w:val="1"/>
      <w:numFmt w:val="lowerRoman"/>
      <w:lvlText w:val="%6."/>
      <w:lvlJc w:val="right"/>
      <w:pPr>
        <w:ind w:hanging="420" w:left="2520"/>
      </w:pPr>
      <w:rPr>
        <w:rFonts w:hint="eastAsia"/>
      </w:rPr>
    </w:lvl>
    <w:lvl w:ilvl="6">
      <w:start w:val="1"/>
      <w:numFmt w:val="decimal"/>
      <w:lvlText w:val="%7."/>
      <w:lvlJc w:val="left"/>
      <w:pPr>
        <w:ind w:hanging="420" w:left="2940"/>
      </w:pPr>
      <w:rPr>
        <w:rFonts w:hint="eastAsia"/>
      </w:rPr>
    </w:lvl>
    <w:lvl w:ilvl="7">
      <w:start w:val="1"/>
      <w:numFmt w:val="lowerLetter"/>
      <w:lvlText w:val="%8)"/>
      <w:lvlJc w:val="left"/>
      <w:pPr>
        <w:ind w:hanging="420" w:left="3360"/>
      </w:pPr>
      <w:rPr>
        <w:rFonts w:hint="eastAsia"/>
      </w:rPr>
    </w:lvl>
    <w:lvl w:ilvl="8">
      <w:start w:val="1"/>
      <w:numFmt w:val="lowerRoman"/>
      <w:lvlText w:val="%9."/>
      <w:lvlJc w:val="right"/>
      <w:pPr>
        <w:ind w:hanging="420" w:left="3780"/>
      </w:pPr>
      <w:rPr>
        <w:rFonts w:hint="eastAsia"/>
      </w:rPr>
    </w:lvl>
  </w:abstractNum>
  <w:abstractNum w15:restartNumberingAfterBreak="0" w:abstractNumId="4">
    <w:nsid w:val="78191783"/>
    <w:multiLevelType w:val="multilevel"/>
    <w:tmpl w:val="5CEC4004"/>
    <w:lvl w:ilvl="0">
      <w:start w:val="1"/>
      <w:numFmt w:val="decimal"/>
      <w:suff w:val="nothing"/>
      <w:lvlText w:val="%1."/>
      <w:lvlJc w:val="left"/>
      <w:pPr>
        <w:ind w:firstLine="0" w:left="0"/>
      </w:pPr>
      <w:rPr>
        <w:rFonts w:hint="eastAsia"/>
      </w:rPr>
    </w:lvl>
    <w:lvl w:ilvl="1">
      <w:start w:val="1"/>
      <w:numFmt w:val="decimal"/>
      <w:isLgl/>
      <w:suff w:val="space"/>
      <w:lvlText w:val="%1.%2"/>
      <w:lvlJc w:val="left"/>
      <w:pPr>
        <w:ind w:firstLine="0" w:left="0"/>
      </w:pPr>
      <w:rPr>
        <w:rFonts w:hint="eastAsia"/>
      </w:rPr>
    </w:lvl>
    <w:lvl w:ilvl="2">
      <w:start w:val="1"/>
      <w:numFmt w:val="decimal"/>
      <w:isLgl/>
      <w:suff w:val="space"/>
      <w:lvlText w:val="%1.%2.%3"/>
      <w:lvlJc w:val="left"/>
      <w:pPr>
        <w:ind w:firstLine="0" w:left="0"/>
      </w:pPr>
      <w:rPr>
        <w:rFonts w:hint="eastAsia"/>
      </w:rPr>
    </w:lvl>
    <w:lvl w:ilvl="3">
      <w:start w:val="1"/>
      <w:numFmt w:val="decimal"/>
      <w:isLgl/>
      <w:suff w:val="space"/>
      <w:lvlText w:val="%1.%2.%3.%4"/>
      <w:lvlJc w:val="left"/>
      <w:pPr>
        <w:ind w:firstLine="0" w:left="0"/>
      </w:pPr>
      <w:rPr>
        <w:rFonts w:hint="eastAsia"/>
      </w:rPr>
    </w:lvl>
    <w:lvl w:ilvl="4">
      <w:start w:val="1"/>
      <w:numFmt w:val="decimal"/>
      <w:isLgl/>
      <w:suff w:val="space"/>
      <w:lvlText w:val="(%5)"/>
      <w:lvlJc w:val="left"/>
      <w:pPr>
        <w:ind w:firstLine="0" w:left="0"/>
      </w:pPr>
      <w:rPr>
        <w:rFonts w:hint="eastAsia"/>
      </w:rPr>
    </w:lvl>
    <w:lvl w:ilvl="5">
      <w:start w:val="1"/>
      <w:numFmt w:val="none"/>
      <w:isLgl/>
      <w:suff w:val="space"/>
      <w:lvlText w:val="%6①"/>
      <w:lvlJc w:val="left"/>
      <w:pPr>
        <w:ind w:firstLine="0" w:left="0"/>
      </w:pPr>
      <w:rPr>
        <w:rFonts w:hint="eastAsia"/>
      </w:rPr>
    </w:lvl>
    <w:lvl w:ilvl="6">
      <w:start w:val="1"/>
      <w:numFmt w:val="decimal"/>
      <w:pStyle w:val="7"/>
      <w:lvlText w:val="%1.%2.%3.%4.%5.%6.%7."/>
      <w:lvlJc w:val="left"/>
      <w:pPr>
        <w:ind w:firstLine="0" w:left="0"/>
      </w:pPr>
      <w:rPr>
        <w:rFonts w:hint="eastAsia"/>
      </w:rPr>
    </w:lvl>
    <w:lvl w:ilvl="7">
      <w:start w:val="1"/>
      <w:numFmt w:val="decimal"/>
      <w:pStyle w:val="8"/>
      <w:lvlText w:val="%1.%2.%3.%4.%5.%6.%7.%8."/>
      <w:lvlJc w:val="left"/>
      <w:pPr>
        <w:ind w:firstLine="0" w:left="0"/>
      </w:pPr>
      <w:rPr>
        <w:rFonts w:hint="eastAsia"/>
      </w:rPr>
    </w:lvl>
    <w:lvl w:ilvl="8">
      <w:start w:val="1"/>
      <w:numFmt w:val="decimal"/>
      <w:pStyle w:val="9"/>
      <w:lvlText w:val="%1.%2.%3.%4.%5.%6.%7.%8.%9."/>
      <w:lvlJc w:val="left"/>
      <w:pPr>
        <w:ind w:firstLine="0" w:left="0"/>
      </w:pPr>
      <w:rPr>
        <w:rFonts w:hint="eastAsia"/>
      </w:r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num w16cid:durableId="1945381560" w:numId="1">
    <w:abstractNumId w:val="4"/>
  </w:num>
  <w:num w16cid:durableId="137457388" w:numId="2">
    <w:abstractNumId w:val="0"/>
  </w:num>
  <w:num w16cid:durableId="1414398069" w:numId="3">
    <w:abstractNumId w:val="2"/>
  </w:num>
  <w:num w16cid:durableId="2031760769" w:numId="4">
    <w:abstractNumId w:val="3"/>
  </w:num>
  <w:num w16cid:durableId="1358121658" w:numId="5">
    <w:abstractNumId w:val="1"/>
  </w: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20"/>
  <w:embedSystemFonts/>
  <w:bordersDoNotSurroundHeader/>
  <w:bordersDoNotSurroundFooter/>
  <w:proofState w:grammar="clean" w:spelling="clean"/>
  <w:stylePaneFormatFilter w:allStyles="0" w:alternateStyleNames="0" w:clearFormatting="0" w:customStyles="0" w:directFormattingOnNumbering="0" w:directFormattingOnParagraphs="0" w:directFormattingOnRuns="0" w:directFormattingOnTables="0" w:headingStyles="0" w:latentStyles="1" w:numberingStyles="0" w:stylesInUse="0" w:tableStyles="0" w:top3HeadingStyles="0" w:val="0004" w:visibleStyles="0"/>
  <w:doNotTrackMoves/>
  <w:defaultTabStop w:val="720"/>
  <w:hyphenationZone w:val="425"/>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2"/>
    <w:compatSetting w:name="useWord2013TrackBottomHyphenation" w:uri="http://schemas.microsoft.com/office/word" w:val="1"/>
  </w:compat>
  <w:rsids>
    <w:rsidRoot w:val="002156E8"/>
    <w:rsid w:val="B7FF563B"/>
    <w:rsid w:val="BF59A777"/>
    <w:rsid w:val="0003021B"/>
    <w:rsid w:val="000373C7"/>
    <w:rsid w:val="000922B3"/>
    <w:rsid w:val="000A7180"/>
    <w:rsid w:val="000D63EA"/>
    <w:rsid w:val="001034BA"/>
    <w:rsid w:val="00130035"/>
    <w:rsid w:val="00132CC0"/>
    <w:rsid w:val="00141D7E"/>
    <w:rsid w:val="001648CB"/>
    <w:rsid w:val="00173591"/>
    <w:rsid w:val="00176645"/>
    <w:rsid w:val="00187698"/>
    <w:rsid w:val="001A460B"/>
    <w:rsid w:val="001C415E"/>
    <w:rsid w:val="001C7DA9"/>
    <w:rsid w:val="001D7D01"/>
    <w:rsid w:val="002156E8"/>
    <w:rsid w:val="0021764E"/>
    <w:rsid w:val="00230493"/>
    <w:rsid w:val="0025756E"/>
    <w:rsid w:val="0026279F"/>
    <w:rsid w:val="00270BB1"/>
    <w:rsid w:val="002D608C"/>
    <w:rsid w:val="002E1B08"/>
    <w:rsid w:val="0031335F"/>
    <w:rsid w:val="00313D8D"/>
    <w:rsid w:val="00333238"/>
    <w:rsid w:val="0033432F"/>
    <w:rsid w:val="003E543F"/>
    <w:rsid w:val="00410D6E"/>
    <w:rsid w:val="004341DE"/>
    <w:rsid w:val="004C0445"/>
    <w:rsid w:val="004C3254"/>
    <w:rsid w:val="005620C0"/>
    <w:rsid w:val="0056745F"/>
    <w:rsid w:val="00586A77"/>
    <w:rsid w:val="00607DE1"/>
    <w:rsid w:val="006C1A35"/>
    <w:rsid w:val="006C7089"/>
    <w:rsid w:val="006E1E2E"/>
    <w:rsid w:val="00702F93"/>
    <w:rsid w:val="00710E78"/>
    <w:rsid w:val="007275C3"/>
    <w:rsid w:val="007671A1"/>
    <w:rsid w:val="00777A56"/>
    <w:rsid w:val="007C5616"/>
    <w:rsid w:val="007D05F2"/>
    <w:rsid w:val="0082043B"/>
    <w:rsid w:val="0082616E"/>
    <w:rsid w:val="00932DD0"/>
    <w:rsid w:val="009465C5"/>
    <w:rsid w:val="009A41AC"/>
    <w:rsid w:val="009F17DB"/>
    <w:rsid w:val="009F6DA6"/>
    <w:rsid w:val="00A3202C"/>
    <w:rsid w:val="00AC7E24"/>
    <w:rsid w:val="00B03639"/>
    <w:rsid w:val="00B12AC2"/>
    <w:rsid w:val="00B53C8F"/>
    <w:rsid w:val="00B919E6"/>
    <w:rsid w:val="00B97397"/>
    <w:rsid w:val="00BD2093"/>
    <w:rsid w:val="00BE1235"/>
    <w:rsid w:val="00BE776F"/>
    <w:rsid w:val="00C14996"/>
    <w:rsid w:val="00C239F9"/>
    <w:rsid w:val="00C718F3"/>
    <w:rsid w:val="00C762F1"/>
    <w:rsid w:val="00C97121"/>
    <w:rsid w:val="00CA577F"/>
    <w:rsid w:val="00D37442"/>
    <w:rsid w:val="00D50C73"/>
    <w:rsid w:val="00D83459"/>
    <w:rsid w:val="00D90AD4"/>
    <w:rsid w:val="00DE28C1"/>
    <w:rsid w:val="00E13160"/>
    <w:rsid w:val="00E42728"/>
    <w:rsid w:val="00E605F9"/>
    <w:rsid w:val="00E62D3C"/>
    <w:rsid w:val="00E63A38"/>
    <w:rsid w:val="00E63D8E"/>
    <w:rsid w:val="00E87185"/>
    <w:rsid w:val="00E9717F"/>
    <w:rsid w:val="00E97480"/>
    <w:rsid w:val="00EE60DF"/>
    <w:rsid w:val="00F31944"/>
    <w:rsid w:val="00F44FDF"/>
    <w:rsid w:val="00F87BD1"/>
    <w:rsid w:val="00FB0442"/>
  </w:rsids>
  <w:themeFontLang w:eastAsia="zh-CN" w:val="en-US"/>
  <w:clrSchemeMapping w:accent1="accent1" w:accent2="accent2" w:accent3="accent3" w:accent4="accent4" w:accent5="accent5" w:accent6="accent6" w:bg1="light1" w:bg2="light2" w:followedHyperlink="followedHyperlink" w:hyperlink="hyperlink" w:t1="dark1" w:t2="dark2"/>
  <w:shapeDefaults>
    <o:shapedefaults spidmax="1026" v:ext="edit"/>
    <o:shapelayout v:ext="edit">
      <o:idmap data="1" v:ext="edit"/>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cstheme="minorBidi" w:eastAsiaTheme="minorEastAsia" w:hAnsiTheme="minorHAnsi"/>
        <w:lang w:bidi="ar-SA" w:eastAsia="zh-Hans" w:val="en-US"/>
      </w:rPr>
    </w:rPrDefault>
    <w:pPrDefault/>
  </w:docDefaults>
  <w:latentStyles w:count="376" w:defLockedState="0" w:defQFormat="0" w:defSemiHidden="0" w:defUIPriority="0" w:defUnhideWhenUsed="0">
    <w:lsdException w:name="Normal" w:qFormat="1"/>
    <w:lsdException w:name="heading 1" w:qFormat="1" w:uiPriority="9"/>
    <w:lsdException w:name="heading 2" w:qFormat="1" w:uiPriority="9" w:unhideWhenUsed="1"/>
    <w:lsdException w:name="heading 3" w:qFormat="1" w:uiPriority="9" w:unhideWhenUsed="1"/>
    <w:lsdException w:name="heading 4" w:qFormat="1" w:uiPriority="9" w:unhideWhenUsed="1"/>
    <w:lsdException w:name="heading 5" w:qFormat="1" w:uiPriority="9" w:unhideWhenUsed="1"/>
    <w:lsdException w:name="heading 6" w:qFormat="1" w:uiPriority="9" w:unhideWhenUsed="1"/>
    <w:lsdException w:name="heading 7" w:qFormat="1" w:uiPriority="9" w:unhideWhenUsed="1"/>
    <w:lsdException w:name="heading 8" w:qFormat="1" w:uiPriority="9" w:unhideWhenUsed="1"/>
    <w:lsdException w:name="heading 9" w:qFormat="1" w:uiPriority="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qFormat="1" w:uiPriority="9" w:unhideWhenUsed="1"/>
    <w:lsdException w:name="annotation text" w:semiHidden="1" w:unhideWhenUsed="1"/>
    <w:lsdException w:name="header" w:qFormat="1" w:unhideWhenUsed="1"/>
    <w:lsdException w:name="footer" w:qFormat="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semiHidden="1" w:unhideWhenUsed="1"/>
    <w:lsdException w:name="line number" w:semiHidden="1" w:unhideWhenUsed="1"/>
    <w:lsdException w:name="page number" w:qFormat="1"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Indent 2" w:semiHidden="1" w:unhideWhenUsed="1"/>
    <w:lsdException w:name="Body Text Indent 3" w:semiHidden="1" w:unhideWhenUsed="1"/>
    <w:lsdException w:name="Block Text" w:qFormat="1" w:uiPriority="9" w:unhideWhenUsed="1"/>
    <w:lsdException w:name="Hyperlink"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a" w:type="paragraph">
    <w:name w:val="Normal"/>
    <w:qFormat/>
    <w:pPr>
      <w:spacing w:after="200"/>
    </w:pPr>
    <w:rPr>
      <w:sz w:val="24"/>
      <w:szCs w:val="24"/>
      <w:lang w:eastAsia="zh-Hans"/>
    </w:rPr>
  </w:style>
  <w:style w:styleId="1" w:type="paragraph">
    <w:name w:val="heading 1"/>
    <w:basedOn w:val="a"/>
    <w:next w:val="a0"/>
    <w:uiPriority w:val="9"/>
    <w:qFormat/>
    <w:rsid w:val="00E13160"/>
    <w:pPr>
      <w:spacing w:after="0"/>
      <w:jc w:val="center"/>
      <w:outlineLvl w:val="0"/>
    </w:pPr>
    <w:rPr>
      <w:rFonts w:ascii="黑体" w:cstheme="majorBidi" w:eastAsia="黑体" w:hAnsi="黑体"/>
      <w:bCs/>
      <w:color w:themeColor="text1" w:val="000000"/>
      <w:sz w:val="32"/>
      <w:szCs w:val="32"/>
      <w:lang w:eastAsia="zh-Hans"/>
    </w:rPr>
  </w:style>
  <w:style w:styleId="2" w:type="paragraph">
    <w:name w:val="heading 2"/>
    <w:basedOn w:val="a"/>
    <w:next w:val="a0"/>
    <w:uiPriority w:val="9"/>
    <w:unhideWhenUsed/>
    <w:qFormat/>
    <w:rsid w:val="00E13160"/>
    <w:pPr>
      <w:spacing w:after="0"/>
      <w:jc w:val="center"/>
      <w:outlineLvl w:val="1"/>
    </w:pPr>
    <w:rPr>
      <w:rFonts w:ascii="黑体" w:cstheme="majorBidi" w:eastAsia="黑体"/>
      <w:bCs/>
      <w:color w:themeColor="text1" w:val="000000"/>
      <w:sz w:val="28"/>
      <w:szCs w:val="32"/>
    </w:rPr>
  </w:style>
  <w:style w:styleId="3" w:type="paragraph">
    <w:name w:val="heading 3"/>
    <w:basedOn w:val="a"/>
    <w:next w:val="a0"/>
    <w:uiPriority w:val="9"/>
    <w:unhideWhenUsed/>
    <w:qFormat/>
    <w:rsid w:val="00E13160"/>
    <w:pPr>
      <w:spacing w:after="0" w:line="440" w:lineRule="exact"/>
      <w:outlineLvl w:val="2"/>
    </w:pPr>
    <w:rPr>
      <w:rFonts w:ascii="黑体" w:cstheme="majorBidi" w:eastAsia="黑体" w:hAnsiTheme="majorHAnsi"/>
      <w:bCs/>
      <w:color w:themeColor="text1" w:val="000000"/>
      <w:szCs w:val="28"/>
    </w:rPr>
  </w:style>
  <w:style w:styleId="4" w:type="paragraph">
    <w:name w:val="heading 4"/>
    <w:basedOn w:val="a"/>
    <w:next w:val="a0"/>
    <w:uiPriority w:val="9"/>
    <w:unhideWhenUsed/>
    <w:qFormat/>
    <w:rsid w:val="00E13160"/>
    <w:pPr>
      <w:spacing w:after="0" w:line="440" w:lineRule="exact"/>
      <w:outlineLvl w:val="3"/>
    </w:pPr>
    <w:rPr>
      <w:rFonts w:ascii="黑体" w:cstheme="majorBidi" w:eastAsia="黑体" w:hAnsiTheme="majorHAnsi"/>
      <w:bCs/>
      <w:color w:themeColor="text1" w:val="000000"/>
    </w:rPr>
  </w:style>
  <w:style w:styleId="5" w:type="paragraph">
    <w:name w:val="heading 5"/>
    <w:basedOn w:val="a"/>
    <w:next w:val="a0"/>
    <w:uiPriority w:val="9"/>
    <w:unhideWhenUsed/>
    <w:qFormat/>
    <w:rsid w:val="00E13160"/>
    <w:pPr>
      <w:keepNext/>
      <w:keepLines/>
      <w:spacing w:after="0" w:line="440" w:lineRule="exact"/>
      <w:outlineLvl w:val="4"/>
    </w:pPr>
    <w:rPr>
      <w:rFonts w:ascii="黑体" w:cstheme="majorBidi" w:eastAsia="黑体" w:hAnsiTheme="majorHAnsi"/>
      <w:iCs/>
      <w:color w:themeColor="text1" w:val="000000"/>
    </w:rPr>
  </w:style>
  <w:style w:styleId="6" w:type="paragraph">
    <w:name w:val="heading 6"/>
    <w:basedOn w:val="a"/>
    <w:next w:val="a0"/>
    <w:uiPriority w:val="9"/>
    <w:unhideWhenUsed/>
    <w:qFormat/>
    <w:rsid w:val="00E13160"/>
    <w:pPr>
      <w:keepNext/>
      <w:keepLines/>
      <w:spacing w:after="0" w:line="440" w:lineRule="exact"/>
      <w:outlineLvl w:val="5"/>
    </w:pPr>
    <w:rPr>
      <w:rFonts w:ascii="黑体" w:cstheme="majorBidi" w:eastAsia="黑体" w:hAnsiTheme="majorHAnsi"/>
      <w:color w:themeColor="text1" w:val="000000"/>
    </w:rPr>
  </w:style>
  <w:style w:styleId="7" w:type="paragraph">
    <w:name w:val="heading 7"/>
    <w:basedOn w:val="a"/>
    <w:next w:val="a0"/>
    <w:uiPriority w:val="9"/>
    <w:unhideWhenUsed/>
    <w:qFormat/>
    <w:pPr>
      <w:keepNext/>
      <w:keepLines/>
      <w:numPr>
        <w:ilvl w:val="6"/>
        <w:numId w:val="1"/>
      </w:numPr>
      <w:spacing w:after="0" w:before="200"/>
      <w:outlineLvl w:val="6"/>
    </w:pPr>
    <w:rPr>
      <w:rFonts w:asciiTheme="majorHAnsi" w:cstheme="majorBidi" w:eastAsiaTheme="majorEastAsia" w:hAnsiTheme="majorHAnsi"/>
      <w:color w:themeColor="text1" w:val="000000"/>
    </w:rPr>
  </w:style>
  <w:style w:styleId="8" w:type="paragraph">
    <w:name w:val="heading 8"/>
    <w:basedOn w:val="a"/>
    <w:next w:val="a0"/>
    <w:uiPriority w:val="9"/>
    <w:unhideWhenUsed/>
    <w:qFormat/>
    <w:pPr>
      <w:keepNext/>
      <w:keepLines/>
      <w:numPr>
        <w:ilvl w:val="7"/>
        <w:numId w:val="1"/>
      </w:numPr>
      <w:spacing w:after="0" w:before="200"/>
      <w:outlineLvl w:val="7"/>
    </w:pPr>
    <w:rPr>
      <w:rFonts w:asciiTheme="majorHAnsi" w:cstheme="majorBidi" w:eastAsiaTheme="majorEastAsia" w:hAnsiTheme="majorHAnsi"/>
      <w:color w:themeColor="text1" w:val="000000"/>
    </w:rPr>
  </w:style>
  <w:style w:styleId="9" w:type="paragraph">
    <w:name w:val="heading 9"/>
    <w:basedOn w:val="a"/>
    <w:next w:val="a0"/>
    <w:uiPriority w:val="9"/>
    <w:unhideWhenUsed/>
    <w:qFormat/>
    <w:pPr>
      <w:keepNext/>
      <w:keepLines/>
      <w:numPr>
        <w:ilvl w:val="8"/>
        <w:numId w:val="1"/>
      </w:numPr>
      <w:spacing w:after="0" w:before="200"/>
      <w:outlineLvl w:val="8"/>
    </w:pPr>
    <w:rPr>
      <w:rFonts w:asciiTheme="majorHAnsi" w:cstheme="majorBidi" w:eastAsiaTheme="majorEastAsia" w:hAnsiTheme="majorHAnsi"/>
      <w:color w:themeColor="text1" w:val="000000"/>
    </w:rPr>
  </w:style>
  <w:style w:default="1" w:styleId="a1" w:type="character">
    <w:name w:val="Default Paragraph Font"/>
    <w:uiPriority w:val="1"/>
    <w:semiHidden/>
    <w:unhideWhenUsed/>
  </w:style>
  <w:style w:default="1" w:styleId="a2" w:type="table">
    <w:name w:val="Normal Table"/>
    <w:uiPriority w:val="99"/>
    <w:semiHidden/>
    <w:unhideWhenUsed/>
    <w:tblPr>
      <w:tblInd w:type="dxa" w:w="0"/>
      <w:tblCellMar>
        <w:top w:type="dxa" w:w="0"/>
        <w:left w:type="dxa" w:w="108"/>
        <w:bottom w:type="dxa" w:w="0"/>
        <w:right w:type="dxa" w:w="108"/>
      </w:tblCellMar>
    </w:tblPr>
  </w:style>
  <w:style w:default="1" w:styleId="a3" w:type="numbering">
    <w:name w:val="No List"/>
    <w:uiPriority w:val="99"/>
    <w:semiHidden/>
    <w:unhideWhenUsed/>
  </w:style>
  <w:style w:styleId="a0" w:type="paragraph">
    <w:name w:val="Body Text"/>
    <w:basedOn w:val="a"/>
    <w:link w:val="a4"/>
    <w:qFormat/>
    <w:rsid w:val="004C0445"/>
    <w:pPr>
      <w:spacing w:after="0" w:line="440" w:lineRule="exact"/>
      <w:ind w:firstLine="200" w:firstLineChars="200"/>
      <w:jc w:val="both"/>
    </w:pPr>
    <w:rPr>
      <w:rFonts w:ascii="宋体" w:eastAsia="宋体"/>
    </w:rPr>
  </w:style>
  <w:style w:styleId="a5" w:type="paragraph">
    <w:name w:val="caption"/>
    <w:basedOn w:val="a"/>
    <w:next w:val="a"/>
    <w:link w:val="a6"/>
    <w:qFormat/>
    <w:pPr>
      <w:spacing w:after="120"/>
    </w:pPr>
    <w:rPr>
      <w:i/>
    </w:rPr>
  </w:style>
  <w:style w:styleId="a7" w:type="paragraph">
    <w:name w:val="Block Text"/>
    <w:basedOn w:val="a0"/>
    <w:next w:val="a0"/>
    <w:uiPriority w:val="9"/>
    <w:unhideWhenUsed/>
    <w:qFormat/>
    <w:pPr>
      <w:spacing w:after="100" w:before="100"/>
    </w:pPr>
    <w:rPr>
      <w:rFonts w:asciiTheme="majorHAnsi" w:cstheme="majorBidi" w:eastAsiaTheme="majorEastAsia" w:hAnsiTheme="majorHAnsi"/>
      <w:bCs/>
      <w:sz w:val="20"/>
      <w:szCs w:val="20"/>
    </w:rPr>
  </w:style>
  <w:style w:styleId="a8" w:type="paragraph">
    <w:name w:val="Date"/>
    <w:next w:val="a0"/>
    <w:qFormat/>
    <w:pPr>
      <w:keepNext/>
      <w:keepLines/>
      <w:spacing w:line="560" w:lineRule="exact"/>
      <w:jc w:val="center"/>
    </w:pPr>
    <w:rPr>
      <w:rFonts w:ascii="楷体" w:eastAsia="楷体"/>
      <w:sz w:val="32"/>
      <w:szCs w:val="24"/>
      <w:lang w:eastAsia="zh-Hans"/>
    </w:rPr>
  </w:style>
  <w:style w:styleId="a9" w:type="paragraph">
    <w:name w:val="footer"/>
    <w:basedOn w:val="a"/>
    <w:link w:val="aa"/>
    <w:unhideWhenUsed/>
    <w:qFormat/>
    <w:pPr>
      <w:tabs>
        <w:tab w:pos="4536" w:val="center"/>
        <w:tab w:pos="9072" w:val="right"/>
      </w:tabs>
      <w:spacing w:after="0"/>
    </w:pPr>
  </w:style>
  <w:style w:styleId="ab" w:type="paragraph">
    <w:name w:val="header"/>
    <w:basedOn w:val="a"/>
    <w:link w:val="ac"/>
    <w:unhideWhenUsed/>
    <w:qFormat/>
    <w:pPr>
      <w:tabs>
        <w:tab w:pos="4536" w:val="center"/>
        <w:tab w:pos="9072" w:val="right"/>
      </w:tabs>
      <w:spacing w:after="0"/>
    </w:pPr>
  </w:style>
  <w:style w:styleId="ad" w:type="paragraph">
    <w:name w:val="Subtitle"/>
    <w:basedOn w:val="ae"/>
    <w:next w:val="a0"/>
    <w:qFormat/>
    <w:pPr>
      <w:spacing w:before="240"/>
    </w:pPr>
    <w:rPr>
      <w:sz w:val="30"/>
      <w:szCs w:val="30"/>
    </w:rPr>
  </w:style>
  <w:style w:styleId="ae" w:type="paragraph">
    <w:name w:val="Title"/>
    <w:basedOn w:val="a"/>
    <w:next w:val="a0"/>
    <w:qFormat/>
    <w:rsid w:val="00B03639"/>
    <w:pPr>
      <w:spacing w:after="0"/>
      <w:jc w:val="center"/>
    </w:pPr>
    <w:rPr>
      <w:rFonts w:ascii="黑体" w:cstheme="majorBidi" w:eastAsia="黑体" w:hAnsiTheme="majorHAnsi"/>
      <w:bCs/>
      <w:color w:themeColor="text1" w:val="000000"/>
      <w:sz w:val="32"/>
      <w:szCs w:val="36"/>
    </w:rPr>
  </w:style>
  <w:style w:styleId="af" w:type="paragraph">
    <w:name w:val="footnote text"/>
    <w:basedOn w:val="a"/>
    <w:uiPriority w:val="9"/>
    <w:unhideWhenUsed/>
    <w:qFormat/>
  </w:style>
  <w:style w:styleId="af0" w:type="character">
    <w:name w:val="page number"/>
    <w:basedOn w:val="a1"/>
    <w:semiHidden/>
    <w:unhideWhenUsed/>
    <w:qFormat/>
  </w:style>
  <w:style w:styleId="af1" w:type="character">
    <w:name w:val="Hyperlink"/>
    <w:basedOn w:val="a6"/>
    <w:qFormat/>
    <w:rPr>
      <w:color w:val="C00000"/>
    </w:rPr>
  </w:style>
  <w:style w:customStyle="1" w:styleId="a6" w:type="character">
    <w:name w:val="题注 字符"/>
    <w:basedOn w:val="a1"/>
    <w:link w:val="a5"/>
    <w:qFormat/>
  </w:style>
  <w:style w:styleId="af2" w:type="character">
    <w:name w:val="footnote reference"/>
    <w:basedOn w:val="a6"/>
    <w:qFormat/>
    <w:rPr>
      <w:vertAlign w:val="superscript"/>
    </w:rPr>
  </w:style>
  <w:style w:customStyle="1" w:styleId="FirstParagraph" w:type="paragraph">
    <w:name w:val="First Paragraph"/>
    <w:basedOn w:val="a0"/>
    <w:next w:val="a0"/>
    <w:qFormat/>
    <w:rsid w:val="00176645"/>
    <w:rPr>
      <w:rFonts w:ascii="Times New Roman" w:hAnsi="Times New Roman"/>
    </w:rPr>
  </w:style>
  <w:style w:customStyle="1" w:styleId="Compact" w:type="paragraph">
    <w:name w:val="Compact"/>
    <w:basedOn w:val="a0"/>
    <w:qFormat/>
    <w:pPr>
      <w:spacing w:after="36" w:before="36"/>
    </w:pPr>
  </w:style>
  <w:style w:customStyle="1" w:styleId="Author" w:type="paragraph">
    <w:name w:val="Author"/>
    <w:next w:val="a0"/>
    <w:qFormat/>
    <w:pPr>
      <w:spacing w:line="560" w:lineRule="exact"/>
      <w:jc w:val="center"/>
    </w:pPr>
    <w:rPr>
      <w:rFonts w:ascii="楷体" w:eastAsia="楷体"/>
      <w:sz w:val="32"/>
      <w:szCs w:val="24"/>
      <w:lang w:eastAsia="zh-Hans"/>
    </w:rPr>
  </w:style>
  <w:style w:customStyle="1" w:styleId="Abstract" w:type="paragraph">
    <w:name w:val="Abstract"/>
    <w:basedOn w:val="a"/>
    <w:next w:val="a0"/>
    <w:qFormat/>
    <w:pPr>
      <w:keepNext/>
      <w:keepLines/>
      <w:spacing w:after="300" w:before="300"/>
    </w:pPr>
    <w:rPr>
      <w:sz w:val="20"/>
      <w:szCs w:val="20"/>
    </w:rPr>
  </w:style>
  <w:style w:customStyle="1" w:styleId="10" w:type="paragraph">
    <w:name w:val="书目1"/>
    <w:basedOn w:val="a"/>
    <w:qFormat/>
  </w:style>
  <w:style w:customStyle="1" w:styleId="Table" w:type="table">
    <w:name w:val="Table"/>
    <w:semiHidden/>
    <w:unhideWhenUsed/>
    <w:qFormat/>
    <w:pPr>
      <w:keepNext/>
    </w:pPr>
    <w:tblPr>
      <w:tblBorders>
        <w:bottom w:color="000000" w:space="0" w:sz="4" w:themeColor="text1" w:val="single"/>
      </w:tblBorders>
      <w:tblCellMar>
        <w:top w:type="dxa" w:w="0"/>
        <w:left w:type="dxa" w:w="108"/>
        <w:bottom w:type="dxa" w:w="0"/>
        <w:right w:type="dxa" w:w="108"/>
      </w:tblCellMar>
    </w:tblPr>
    <w:tcPr>
      <w:shd w:color="auto" w:fill="auto" w:val="clear"/>
    </w:tcPr>
    <w:tblStylePr w:type="firstRow">
      <w:rPr>
        <w:b/>
      </w:rPr>
      <w:tblPr>
        <w:jc w:val="center"/>
      </w:tblPr>
      <w:trPr>
        <w:jc w:val="center"/>
      </w:trPr>
      <w:tcPr>
        <w:tcBorders>
          <w:bottom w:color="000000" w:space="0" w:sz="4" w:themeColor="text1" w:val="single"/>
        </w:tcBorders>
      </w:tcPr>
    </w:tblStylePr>
    <w:tblStylePr w:type="firstCol">
      <w:tblPr/>
      <w:tcPr>
        <w:tcBorders>
          <w:right w:color="000000" w:space="0" w:sz="4" w:themeColor="text1" w:val="single"/>
        </w:tcBorders>
        <w:shd w:color="auto" w:fill="auto" w:val="clear"/>
      </w:tcPr>
    </w:tblStylePr>
    <w:tblStylePr w:type="band1Horz">
      <w:tblPr/>
      <w:tcPr>
        <w:shd w:color="auto" w:fill="EEECE1" w:themeFill="background2" w:val="clear"/>
      </w:tcPr>
    </w:tblStylePr>
  </w:style>
  <w:style w:customStyle="1" w:styleId="DefinitionTerm" w:type="paragraph">
    <w:name w:val="Definition Term"/>
    <w:basedOn w:val="a"/>
    <w:next w:val="Definition"/>
    <w:qFormat/>
    <w:pPr>
      <w:keepNext/>
      <w:keepLines/>
      <w:spacing w:after="0"/>
    </w:pPr>
    <w:rPr>
      <w:b/>
    </w:rPr>
  </w:style>
  <w:style w:customStyle="1" w:styleId="Definition" w:type="paragraph">
    <w:name w:val="Definition"/>
    <w:basedOn w:val="a"/>
    <w:qFormat/>
  </w:style>
  <w:style w:customStyle="1" w:styleId="TableCaption" w:type="paragraph">
    <w:name w:val="Table Caption"/>
    <w:basedOn w:val="a5"/>
    <w:qFormat/>
    <w:pPr>
      <w:keepNext/>
      <w:jc w:val="center"/>
    </w:pPr>
  </w:style>
  <w:style w:customStyle="1" w:styleId="ImageCaption" w:type="paragraph">
    <w:name w:val="Image Caption"/>
    <w:basedOn w:val="a5"/>
    <w:qFormat/>
    <w:pPr>
      <w:jc w:val="center"/>
    </w:pPr>
  </w:style>
  <w:style w:customStyle="1" w:styleId="Figure" w:type="paragraph">
    <w:name w:val="Figure"/>
    <w:basedOn w:val="a"/>
    <w:qFormat/>
    <w:pPr>
      <w:keepNext/>
      <w:keepLines/>
      <w:spacing w:before="60"/>
      <w:jc w:val="center"/>
    </w:pPr>
  </w:style>
  <w:style w:customStyle="1" w:styleId="CaptionedFigure" w:type="paragraph">
    <w:name w:val="Captioned Figure"/>
    <w:basedOn w:val="Figure"/>
    <w:qFormat/>
  </w:style>
  <w:style w:customStyle="1" w:styleId="VerbatimChar" w:type="character">
    <w:name w:val="Verbatim Char"/>
    <w:basedOn w:val="a6"/>
    <w:link w:val="SourceCode"/>
    <w:qFormat/>
    <w:rPr>
      <w:rFonts w:ascii="Consolas" w:hAnsi="Consolas"/>
      <w:color w:val="C00000"/>
      <w:sz w:val="22"/>
      <w:u w:val="none"/>
      <w:shd w:color="auto" w:fill="F2F2F2" w:themeFill="background1" w:themeFillShade="F2" w:val="clear"/>
    </w:rPr>
  </w:style>
  <w:style w:customStyle="1" w:styleId="SourceCode" w:type="paragraph">
    <w:name w:val="Source Code"/>
    <w:basedOn w:val="a"/>
    <w:link w:val="VerbatimChar"/>
    <w:qFormat/>
    <w:pPr>
      <w:shd w:color="auto" w:fill="F8F8F8" w:val="clear"/>
      <w:wordWrap w:val="0"/>
    </w:pPr>
  </w:style>
  <w:style w:customStyle="1" w:styleId="TOC1" w:type="paragraph">
    <w:name w:val="TOC 标题1"/>
    <w:basedOn w:val="1"/>
    <w:next w:val="a0"/>
    <w:uiPriority w:val="39"/>
    <w:unhideWhenUsed/>
    <w:qFormat/>
    <w:pPr>
      <w:spacing w:before="240" w:line="259" w:lineRule="auto"/>
      <w:outlineLvl w:val="9"/>
    </w:pPr>
    <w:rPr>
      <w:b/>
      <w:bCs w:val="0"/>
    </w:rPr>
  </w:style>
  <w:style w:customStyle="1" w:styleId="a4" w:type="character">
    <w:name w:val="正文文本 字符"/>
    <w:basedOn w:val="a1"/>
    <w:link w:val="a0"/>
    <w:qFormat/>
    <w:rsid w:val="004C0445"/>
    <w:rPr>
      <w:rFonts w:ascii="宋体" w:eastAsia="宋体"/>
      <w:sz w:val="24"/>
      <w:szCs w:val="24"/>
      <w:lang w:eastAsia="zh-Hans"/>
    </w:rPr>
  </w:style>
  <w:style w:styleId="af3" w:type="paragraph">
    <w:name w:val="List Paragraph"/>
    <w:basedOn w:val="a"/>
    <w:qFormat/>
    <w:pPr>
      <w:ind w:left="720"/>
      <w:contextualSpacing/>
    </w:pPr>
  </w:style>
  <w:style w:customStyle="1" w:styleId="aa" w:type="character">
    <w:name w:val="页脚 字符"/>
    <w:basedOn w:val="a1"/>
    <w:link w:val="a9"/>
    <w:qFormat/>
  </w:style>
  <w:style w:customStyle="1" w:styleId="ac" w:type="character">
    <w:name w:val="页眉 字符"/>
    <w:basedOn w:val="a1"/>
    <w:link w:val="ab"/>
    <w:qFormat/>
  </w:style>
  <w:style w:customStyle="1" w:styleId="KeywordTok" w:type="character">
    <w:name w:val="KeywordTok"/>
    <w:basedOn w:val="VerbatimChar"/>
    <w:qFormat/>
    <w:rPr>
      <w:rFonts w:ascii="Consolas" w:hAnsi="Consolas"/>
      <w:b/>
      <w:color w:val="204A87"/>
      <w:sz w:val="22"/>
      <w:u w:val="none"/>
      <w:shd w:color="auto" w:fill="F8F8F8" w:val="clear"/>
    </w:rPr>
  </w:style>
  <w:style w:customStyle="1" w:styleId="DataTypeTok" w:type="character">
    <w:name w:val="DataTypeTok"/>
    <w:basedOn w:val="VerbatimChar"/>
    <w:qFormat/>
    <w:rPr>
      <w:rFonts w:ascii="Consolas" w:hAnsi="Consolas"/>
      <w:color w:val="204A87"/>
      <w:sz w:val="22"/>
      <w:u w:val="none"/>
      <w:shd w:color="auto" w:fill="F8F8F8" w:val="clear"/>
    </w:rPr>
  </w:style>
  <w:style w:customStyle="1" w:styleId="DecValTok" w:type="character">
    <w:name w:val="DecValTok"/>
    <w:basedOn w:val="VerbatimChar"/>
    <w:qFormat/>
    <w:rPr>
      <w:rFonts w:ascii="Consolas" w:hAnsi="Consolas"/>
      <w:color w:val="0000CF"/>
      <w:sz w:val="22"/>
      <w:u w:val="none"/>
      <w:shd w:color="auto" w:fill="F8F8F8" w:val="clear"/>
    </w:rPr>
  </w:style>
  <w:style w:customStyle="1" w:styleId="BaseNTok" w:type="character">
    <w:name w:val="BaseNTok"/>
    <w:basedOn w:val="VerbatimChar"/>
    <w:qFormat/>
    <w:rPr>
      <w:rFonts w:ascii="Consolas" w:hAnsi="Consolas"/>
      <w:color w:val="0000CF"/>
      <w:sz w:val="22"/>
      <w:u w:val="none"/>
      <w:shd w:color="auto" w:fill="F8F8F8" w:val="clear"/>
    </w:rPr>
  </w:style>
  <w:style w:customStyle="1" w:styleId="FloatTok" w:type="character">
    <w:name w:val="FloatTok"/>
    <w:basedOn w:val="VerbatimChar"/>
    <w:qFormat/>
    <w:rPr>
      <w:rFonts w:ascii="Consolas" w:hAnsi="Consolas"/>
      <w:color w:val="0000CF"/>
      <w:sz w:val="22"/>
      <w:u w:val="none"/>
      <w:shd w:color="auto" w:fill="F8F8F8" w:val="clear"/>
    </w:rPr>
  </w:style>
  <w:style w:customStyle="1" w:styleId="ConstantTok" w:type="character">
    <w:name w:val="ConstantTok"/>
    <w:basedOn w:val="VerbatimChar"/>
    <w:qFormat/>
    <w:rPr>
      <w:rFonts w:ascii="Consolas" w:hAnsi="Consolas"/>
      <w:color w:val="000000"/>
      <w:sz w:val="22"/>
      <w:u w:val="none"/>
      <w:shd w:color="auto" w:fill="F8F8F8" w:val="clear"/>
    </w:rPr>
  </w:style>
  <w:style w:customStyle="1" w:styleId="CharTok" w:type="character">
    <w:name w:val="CharTok"/>
    <w:basedOn w:val="VerbatimChar"/>
    <w:qFormat/>
    <w:rPr>
      <w:rFonts w:ascii="Consolas" w:hAnsi="Consolas"/>
      <w:color w:val="4E9A06"/>
      <w:sz w:val="22"/>
      <w:u w:val="none"/>
      <w:shd w:color="auto" w:fill="F8F8F8" w:val="clear"/>
    </w:rPr>
  </w:style>
  <w:style w:customStyle="1" w:styleId="SpecialCharTok" w:type="character">
    <w:name w:val="SpecialCharTok"/>
    <w:basedOn w:val="VerbatimChar"/>
    <w:qFormat/>
    <w:rPr>
      <w:rFonts w:ascii="Consolas" w:hAnsi="Consolas"/>
      <w:color w:val="000000"/>
      <w:sz w:val="22"/>
      <w:u w:val="none"/>
      <w:shd w:color="auto" w:fill="F8F8F8" w:val="clear"/>
    </w:rPr>
  </w:style>
  <w:style w:customStyle="1" w:styleId="StringTok" w:type="character">
    <w:name w:val="StringTok"/>
    <w:basedOn w:val="VerbatimChar"/>
    <w:qFormat/>
    <w:rPr>
      <w:rFonts w:ascii="Consolas" w:hAnsi="Consolas"/>
      <w:color w:val="4E9A06"/>
      <w:sz w:val="22"/>
      <w:u w:val="none"/>
      <w:shd w:color="auto" w:fill="F8F8F8" w:val="clear"/>
    </w:rPr>
  </w:style>
  <w:style w:customStyle="1" w:styleId="VerbatimStringTok" w:type="character">
    <w:name w:val="VerbatimStringTok"/>
    <w:basedOn w:val="VerbatimChar"/>
    <w:qFormat/>
    <w:rPr>
      <w:rFonts w:ascii="Consolas" w:hAnsi="Consolas"/>
      <w:color w:val="4E9A06"/>
      <w:sz w:val="22"/>
      <w:u w:val="none"/>
      <w:shd w:color="auto" w:fill="F8F8F8" w:val="clear"/>
    </w:rPr>
  </w:style>
  <w:style w:customStyle="1" w:styleId="SpecialStringTok" w:type="character">
    <w:name w:val="SpecialStringTok"/>
    <w:basedOn w:val="VerbatimChar"/>
    <w:qFormat/>
    <w:rPr>
      <w:rFonts w:ascii="Consolas" w:hAnsi="Consolas"/>
      <w:color w:val="4E9A06"/>
      <w:sz w:val="22"/>
      <w:u w:val="none"/>
      <w:shd w:color="auto" w:fill="F8F8F8" w:val="clear"/>
    </w:rPr>
  </w:style>
  <w:style w:customStyle="1" w:styleId="ImportTok" w:type="character">
    <w:name w:val="ImportTok"/>
    <w:basedOn w:val="VerbatimChar"/>
    <w:qFormat/>
    <w:rPr>
      <w:rFonts w:ascii="Consolas" w:hAnsi="Consolas"/>
      <w:color w:val="C00000"/>
      <w:sz w:val="22"/>
      <w:u w:val="none"/>
      <w:shd w:color="auto" w:fill="F8F8F8" w:val="clear"/>
    </w:rPr>
  </w:style>
  <w:style w:customStyle="1" w:styleId="CommentTok" w:type="character">
    <w:name w:val="CommentTok"/>
    <w:basedOn w:val="VerbatimChar"/>
    <w:qFormat/>
    <w:rPr>
      <w:rFonts w:ascii="Consolas" w:hAnsi="Consolas"/>
      <w:i/>
      <w:color w:val="8F5902"/>
      <w:sz w:val="22"/>
      <w:u w:val="none"/>
      <w:shd w:color="auto" w:fill="F8F8F8" w:val="clear"/>
    </w:rPr>
  </w:style>
  <w:style w:customStyle="1" w:styleId="DocumentationTok" w:type="character">
    <w:name w:val="DocumentationTok"/>
    <w:basedOn w:val="VerbatimChar"/>
    <w:qFormat/>
    <w:rPr>
      <w:rFonts w:ascii="Consolas" w:hAnsi="Consolas"/>
      <w:b/>
      <w:i/>
      <w:color w:val="8F5902"/>
      <w:sz w:val="22"/>
      <w:u w:val="none"/>
      <w:shd w:color="auto" w:fill="F8F8F8" w:val="clear"/>
    </w:rPr>
  </w:style>
  <w:style w:customStyle="1" w:styleId="AnnotationTok" w:type="character">
    <w:name w:val="AnnotationTok"/>
    <w:basedOn w:val="VerbatimChar"/>
    <w:rPr>
      <w:rFonts w:ascii="Consolas" w:hAnsi="Consolas"/>
      <w:b/>
      <w:i/>
      <w:color w:val="8F5902"/>
      <w:sz w:val="22"/>
      <w:u w:val="none"/>
      <w:shd w:color="auto" w:fill="F8F8F8" w:val="clear"/>
    </w:rPr>
  </w:style>
  <w:style w:customStyle="1" w:styleId="CommentVarTok" w:type="character">
    <w:name w:val="CommentVarTok"/>
    <w:basedOn w:val="VerbatimChar"/>
    <w:rPr>
      <w:rFonts w:ascii="Consolas" w:hAnsi="Consolas"/>
      <w:b/>
      <w:i/>
      <w:color w:val="8F5902"/>
      <w:sz w:val="22"/>
      <w:u w:val="none"/>
      <w:shd w:color="auto" w:fill="F8F8F8" w:val="clear"/>
    </w:rPr>
  </w:style>
  <w:style w:customStyle="1" w:styleId="OtherTok" w:type="character">
    <w:name w:val="OtherTok"/>
    <w:basedOn w:val="VerbatimChar"/>
    <w:rPr>
      <w:rFonts w:ascii="Consolas" w:hAnsi="Consolas"/>
      <w:color w:val="8F5902"/>
      <w:sz w:val="22"/>
      <w:u w:val="none"/>
      <w:shd w:color="auto" w:fill="F8F8F8" w:val="clear"/>
    </w:rPr>
  </w:style>
  <w:style w:customStyle="1" w:styleId="FunctionTok" w:type="character">
    <w:name w:val="FunctionTok"/>
    <w:basedOn w:val="VerbatimChar"/>
    <w:rPr>
      <w:rFonts w:ascii="Consolas" w:hAnsi="Consolas"/>
      <w:color w:val="000000"/>
      <w:sz w:val="22"/>
      <w:u w:val="none"/>
      <w:shd w:color="auto" w:fill="F8F8F8" w:val="clear"/>
    </w:rPr>
  </w:style>
  <w:style w:customStyle="1" w:styleId="VariableTok" w:type="character">
    <w:name w:val="VariableTok"/>
    <w:basedOn w:val="VerbatimChar"/>
    <w:qFormat/>
    <w:rPr>
      <w:rFonts w:ascii="Consolas" w:hAnsi="Consolas"/>
      <w:color w:val="000000"/>
      <w:sz w:val="22"/>
      <w:u w:val="none"/>
      <w:shd w:color="auto" w:fill="F8F8F8" w:val="clear"/>
    </w:rPr>
  </w:style>
  <w:style w:customStyle="1" w:styleId="ControlFlowTok" w:type="character">
    <w:name w:val="ControlFlowTok"/>
    <w:basedOn w:val="VerbatimChar"/>
    <w:rPr>
      <w:rFonts w:ascii="Consolas" w:hAnsi="Consolas"/>
      <w:b/>
      <w:color w:val="204A87"/>
      <w:sz w:val="22"/>
      <w:u w:val="none"/>
      <w:shd w:color="auto" w:fill="F8F8F8" w:val="clear"/>
    </w:rPr>
  </w:style>
  <w:style w:customStyle="1" w:styleId="OperatorTok" w:type="character">
    <w:name w:val="OperatorTok"/>
    <w:basedOn w:val="VerbatimChar"/>
    <w:qFormat/>
    <w:rPr>
      <w:rFonts w:ascii="Consolas" w:hAnsi="Consolas"/>
      <w:b/>
      <w:color w:val="CE5C00"/>
      <w:sz w:val="22"/>
      <w:u w:val="none"/>
      <w:shd w:color="auto" w:fill="F8F8F8" w:val="clear"/>
    </w:rPr>
  </w:style>
  <w:style w:customStyle="1" w:styleId="BuiltInTok" w:type="character">
    <w:name w:val="BuiltInTok"/>
    <w:basedOn w:val="VerbatimChar"/>
    <w:rPr>
      <w:rFonts w:ascii="Consolas" w:hAnsi="Consolas"/>
      <w:color w:val="C00000"/>
      <w:sz w:val="22"/>
      <w:u w:val="none"/>
      <w:shd w:color="auto" w:fill="F8F8F8" w:val="clear"/>
    </w:rPr>
  </w:style>
  <w:style w:customStyle="1" w:styleId="ExtensionTok" w:type="character">
    <w:name w:val="ExtensionTok"/>
    <w:basedOn w:val="VerbatimChar"/>
    <w:qFormat/>
    <w:rPr>
      <w:rFonts w:ascii="Consolas" w:hAnsi="Consolas"/>
      <w:color w:val="C00000"/>
      <w:sz w:val="22"/>
      <w:u w:val="none"/>
      <w:shd w:color="auto" w:fill="F8F8F8" w:val="clear"/>
    </w:rPr>
  </w:style>
  <w:style w:customStyle="1" w:styleId="PreprocessorTok" w:type="character">
    <w:name w:val="PreprocessorTok"/>
    <w:basedOn w:val="VerbatimChar"/>
    <w:rPr>
      <w:rFonts w:ascii="Consolas" w:hAnsi="Consolas"/>
      <w:i/>
      <w:color w:val="8F5902"/>
      <w:sz w:val="22"/>
      <w:u w:val="none"/>
      <w:shd w:color="auto" w:fill="F8F8F8" w:val="clear"/>
    </w:rPr>
  </w:style>
  <w:style w:customStyle="1" w:styleId="AttributeTok" w:type="character">
    <w:name w:val="AttributeTok"/>
    <w:basedOn w:val="VerbatimChar"/>
    <w:rPr>
      <w:rFonts w:ascii="Consolas" w:hAnsi="Consolas"/>
      <w:color w:val="C4A000"/>
      <w:sz w:val="22"/>
      <w:u w:val="none"/>
      <w:shd w:color="auto" w:fill="F8F8F8" w:val="clear"/>
    </w:rPr>
  </w:style>
  <w:style w:customStyle="1" w:styleId="RegionMarkerTok" w:type="character">
    <w:name w:val="RegionMarkerTok"/>
    <w:basedOn w:val="VerbatimChar"/>
    <w:rPr>
      <w:rFonts w:ascii="Consolas" w:hAnsi="Consolas"/>
      <w:color w:val="C00000"/>
      <w:sz w:val="22"/>
      <w:u w:val="none"/>
      <w:shd w:color="auto" w:fill="F8F8F8" w:val="clear"/>
    </w:rPr>
  </w:style>
  <w:style w:customStyle="1" w:styleId="InformationTok" w:type="character">
    <w:name w:val="InformationTok"/>
    <w:basedOn w:val="VerbatimChar"/>
    <w:rPr>
      <w:rFonts w:ascii="Consolas" w:hAnsi="Consolas"/>
      <w:b/>
      <w:i/>
      <w:color w:val="8F5902"/>
      <w:sz w:val="22"/>
      <w:u w:val="none"/>
      <w:shd w:color="auto" w:fill="F8F8F8" w:val="clear"/>
    </w:rPr>
  </w:style>
  <w:style w:customStyle="1" w:styleId="WarningTok" w:type="character">
    <w:name w:val="WarningTok"/>
    <w:basedOn w:val="VerbatimChar"/>
    <w:qFormat/>
    <w:rPr>
      <w:rFonts w:ascii="Consolas" w:hAnsi="Consolas"/>
      <w:b/>
      <w:i/>
      <w:color w:val="8F5902"/>
      <w:sz w:val="22"/>
      <w:u w:val="none"/>
      <w:shd w:color="auto" w:fill="F8F8F8" w:val="clear"/>
    </w:rPr>
  </w:style>
  <w:style w:customStyle="1" w:styleId="AlertTok" w:type="character">
    <w:name w:val="AlertTok"/>
    <w:basedOn w:val="VerbatimChar"/>
    <w:rPr>
      <w:rFonts w:ascii="Consolas" w:hAnsi="Consolas"/>
      <w:color w:val="EF2929"/>
      <w:sz w:val="22"/>
      <w:u w:val="none"/>
      <w:shd w:color="auto" w:fill="F8F8F8" w:val="clear"/>
    </w:rPr>
  </w:style>
  <w:style w:customStyle="1" w:styleId="ErrorTok" w:type="character">
    <w:name w:val="ErrorTok"/>
    <w:basedOn w:val="VerbatimChar"/>
    <w:qFormat/>
    <w:rPr>
      <w:rFonts w:ascii="Consolas" w:hAnsi="Consolas"/>
      <w:b/>
      <w:color w:val="A40000"/>
      <w:sz w:val="22"/>
      <w:u w:val="none"/>
      <w:shd w:color="auto" w:fill="F8F8F8" w:val="clear"/>
    </w:rPr>
  </w:style>
  <w:style w:customStyle="1" w:styleId="NormalTok" w:type="character">
    <w:name w:val="NormalTok"/>
    <w:basedOn w:val="VerbatimChar"/>
    <w:rPr>
      <w:rFonts w:ascii="Consolas" w:hAnsi="Consolas"/>
      <w:color w:val="C00000"/>
      <w:sz w:val="22"/>
      <w:u w:val="none"/>
      <w:shd w:color="auto" w:fill="F8F8F8" w:val="cle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footer1.xml" Type="http://schemas.openxmlformats.org/officeDocument/2006/relationships/footer" /><Relationship Id="rId10" Target="footer2.xml" Type="http://schemas.openxmlformats.org/officeDocument/2006/relationships/footer" /><Relationship Type="http://schemas.openxmlformats.org/officeDocument/2006/relationships/hyperlink" Id="rId106" Target="https://d.cosx.org/" TargetMode="External" /></Relationships>
</file>

<file path=word/_rels/footnotes.xml.rels><?xml version="1.0" encoding="UTF-8"?><Relationships xmlns="http://schemas.openxmlformats.org/package/2006/relationships"><Relationship Type="http://schemas.openxmlformats.org/officeDocument/2006/relationships/hyperlink" Id="rId106" Target="https://d.cosx.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342</TotalTime>
  <Pages>1</Pages>
  <Words>37</Words>
  <Characters>214</Characters>
  <Application>Microsoft Office Word</Application>
  <DocSecurity>0</DocSecurity>
  <Lines>1</Lines>
  <Paragraphs>1</Paragraphs>
  <ScaleCrop>false</ScaleCrop>
  <Company/>
  <LinksUpToDate>false</LinksUpToDate>
  <CharactersWithSpaces>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我国商业银行 FTP 收益率曲线构建及定价机制研究</dc:title>
  <dc:creator/>
  <dc:language>zh-Hans</dc:language>
  <cp:keywords/>
  <dcterms:created xsi:type="dcterms:W3CDTF">2025-11-13T01:57:39Z</dcterms:created>
  <dcterms:modified xsi:type="dcterms:W3CDTF">2025-11-13T01:57:39Z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iblio-config">
    <vt:lpwstr>True</vt:lpwstr>
  </property>
  <property fmtid="{D5CDD505-2E9C-101B-9397-08002B2CF9AE}" pid="3" name="bibliography">
    <vt:lpwstr/>
  </property>
  <property fmtid="{D5CDD505-2E9C-101B-9397-08002B2CF9AE}" pid="4" name="book">
    <vt:lpwstr/>
  </property>
  <property fmtid="{D5CDD505-2E9C-101B-9397-08002B2CF9AE}" pid="5" name="crossref">
    <vt:lpwstr/>
  </property>
  <property fmtid="{D5CDD505-2E9C-101B-9397-08002B2CF9AE}" pid="6" name="csl">
    <vt:lpwstr>assets/chinese-gb7714-1987-numeric.csl</vt:lpwstr>
  </property>
  <property fmtid="{D5CDD505-2E9C-101B-9397-08002B2CF9AE}" pid="7" name="header-includes">
    <vt:lpwstr/>
  </property>
  <property fmtid="{D5CDD505-2E9C-101B-9397-08002B2CF9AE}" pid="8" name="include-after">
    <vt:lpwstr/>
  </property>
  <property fmtid="{D5CDD505-2E9C-101B-9397-08002B2CF9AE}" pid="9" name="include-before">
    <vt:lpwstr/>
  </property>
  <property fmtid="{D5CDD505-2E9C-101B-9397-08002B2CF9AE}" pid="10" name="labels">
    <vt:lpwstr/>
  </property>
  <property fmtid="{D5CDD505-2E9C-101B-9397-08002B2CF9AE}" pid="11" name="link-bibliography">
    <vt:lpwstr>True</vt:lpwstr>
  </property>
  <property fmtid="{D5CDD505-2E9C-101B-9397-08002B2CF9AE}" pid="12" name="link-citations">
    <vt:lpwstr>True</vt:lpwstr>
  </property>
  <property fmtid="{D5CDD505-2E9C-101B-9397-08002B2CF9AE}" pid="13" name="template-partials">
    <vt:lpwstr/>
  </property>
  <property fmtid="{D5CDD505-2E9C-101B-9397-08002B2CF9AE}" pid="14" name="toc-title">
    <vt:lpwstr>目录</vt:lpwstr>
  </property>
</Properties>
</file>